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CE2208" w:rsidR="000014DF" w:rsidP="13BC8465" w:rsidRDefault="000014DF" w14:paraId="4A0656D9" w14:textId="464E8FC0">
      <w:pPr>
        <w:jc w:val="both"/>
        <w:rPr>
          <w:color w:val="2E74B5" w:themeColor="accent1" w:themeShade="BF"/>
          <w:sz w:val="240"/>
          <w:szCs w:val="240"/>
        </w:rPr>
      </w:pPr>
      <w:bookmarkStart w:name="_Toc131410708" w:id="0"/>
      <w:r w:rsidRPr="13BC8465">
        <w:rPr>
          <w:color w:val="2E74B5" w:themeColor="accent1" w:themeShade="BF"/>
          <w:sz w:val="72"/>
          <w:szCs w:val="72"/>
        </w:rPr>
        <w:t xml:space="preserve">Version 0. </w:t>
      </w:r>
      <w:bookmarkEnd w:id="0"/>
      <w:r w:rsidRPr="13BC8465" w:rsidR="00251BF4">
        <w:rPr>
          <w:color w:val="2E74B5" w:themeColor="accent1" w:themeShade="BF"/>
          <w:sz w:val="72"/>
          <w:szCs w:val="72"/>
        </w:rPr>
        <w:t xml:space="preserve">9.5 </w:t>
      </w:r>
      <w:r w:rsidRPr="13BC8465" w:rsidR="00184C1E">
        <w:rPr>
          <w:rFonts w:ascii="Segoe UI Emoji" w:hAnsi="Segoe UI Emoji" w:eastAsia="Segoe UI Emoji" w:cs="Segoe UI Emoji"/>
          <w:sz w:val="52"/>
          <w:szCs w:val="52"/>
        </w:rPr>
        <w:t>🎉</w:t>
      </w:r>
    </w:p>
    <w:p w:rsidR="00E11508" w:rsidP="00C74A0A" w:rsidRDefault="00AD14F6" w14:paraId="7FB101AD" w14:textId="5F2F59C9">
      <w:pPr>
        <w:pStyle w:val="Heading1"/>
        <w:jc w:val="both"/>
      </w:pPr>
      <w:bookmarkStart w:name="_Toc168296056" w:id="1"/>
      <w:bookmarkStart w:name="_Toc207357635" w:id="2"/>
      <w:r w:rsidRPr="521FCCDF">
        <w:rPr>
          <w:lang w:val="fr-FR"/>
        </w:rPr>
        <w:t>À QUOI S'ATTENDRE?</w:t>
      </w:r>
      <w:bookmarkEnd w:id="1"/>
      <w:bookmarkEnd w:id="2"/>
    </w:p>
    <w:p w:rsidR="001F468A" w:rsidP="00C74A0A" w:rsidRDefault="001F468A" w14:paraId="78821635" w14:textId="7644A3F3">
      <w:pPr>
        <w:jc w:val="both"/>
      </w:pPr>
      <w:r>
        <w:t>Cette version poursuit le travail entrepris dans la version 0.9.4 avec la fonctionnalité d'inventaire tournant. Depuis la version 0.9.4, de nombreux utilisateurs attendaient avec impatience les rapports d'inventaire tournant. Vous serez ravis de découvrir quelques rapports récapitulatifs introductifs dans cette version. Les indicateurs de précision des stocks pourraient bien devenir vos préférés ! Outre ces rapports, nous avons apporté diverses mises à jour aux flux d'inventaire tournant, ainsi que des améliorations aux documents existants (liste de sélection, bon de livraison et bon de réception) et des corrections de bugs.</w:t>
      </w:r>
    </w:p>
    <w:p w:rsidR="00974677" w:rsidP="00C74A0A" w:rsidRDefault="001F468A" w14:paraId="35A4BCED" w14:textId="2204AAE6">
      <w:pPr>
        <w:jc w:val="both"/>
      </w:pPr>
      <w:r>
        <w:t xml:space="preserve">Comme toujours, n'hésitez pas à contacter </w:t>
      </w:r>
      <w:hyperlink w:history="1" r:id="rId11">
        <w:r w:rsidRPr="00925827">
          <w:rPr>
            <w:rStyle w:val="Hyperlink"/>
          </w:rPr>
          <w:t xml:space="preserve">openboxes@pih.org </w:t>
        </w:r>
      </w:hyperlink>
      <w:r>
        <w:t>pour tout commentaire ou tout problème avec le système.</w:t>
      </w:r>
    </w:p>
    <w:p w:rsidR="000014DF" w:rsidP="00C74A0A" w:rsidRDefault="000014DF" w14:paraId="2F8CA576" w14:textId="77777777">
      <w:pPr>
        <w:jc w:val="both"/>
      </w:pPr>
      <w:r>
        <w:br w:type="page"/>
      </w:r>
    </w:p>
    <w:bookmarkStart w:name="_Toc161213385" w:displacedByCustomXml="next" w:id="3"/>
    <w:sdt>
      <w:sdtPr>
        <w:id w:val="630926885"/>
        <w:docPartObj>
          <w:docPartGallery w:val="Table of Contents"/>
          <w:docPartUnique/>
        </w:docPartObj>
        <w:rPr>
          <w:rFonts w:ascii="Calibri" w:hAnsi="Calibri" w:eastAsia="" w:cs="" w:asciiTheme="minorAscii" w:hAnsiTheme="minorAscii" w:eastAsiaTheme="minorEastAsia" w:cstheme="minorBidi"/>
          <w:color w:val="auto"/>
          <w:sz w:val="24"/>
          <w:szCs w:val="24"/>
        </w:rPr>
      </w:sdtPr>
      <w:sdtEndPr>
        <w:rPr>
          <w:rFonts w:ascii="Calibri" w:hAnsi="Calibri" w:eastAsia="" w:cs="" w:asciiTheme="minorAscii" w:hAnsiTheme="minorAscii" w:eastAsiaTheme="minorEastAsia" w:cstheme="minorBidi"/>
          <w:color w:val="auto"/>
          <w:sz w:val="24"/>
          <w:szCs w:val="24"/>
        </w:rPr>
      </w:sdtEndPr>
      <w:sdtContent>
        <w:p w:rsidR="00957919" w:rsidRDefault="00957919" w14:paraId="1480251F" w14:textId="5EBFA779">
          <w:pPr>
            <w:pStyle w:val="TOCHeading"/>
          </w:pPr>
          <w:r>
            <w:t>Table des matières</w:t>
          </w:r>
        </w:p>
        <w:p w:rsidR="00784A8C" w:rsidRDefault="13BC8465" w14:paraId="32A1B6F3" w14:textId="14AFF9BA">
          <w:pPr>
            <w:pStyle w:val="TOC1"/>
            <w:tabs>
              <w:tab w:val="right" w:leader="dot" w:pos="9350"/>
            </w:tabs>
            <w:rPr>
              <w:rFonts w:eastAsiaTheme="minorEastAsia"/>
              <w:noProof/>
              <w:sz w:val="22"/>
            </w:rPr>
          </w:pPr>
          <w:r>
            <w:fldChar w:fldCharType="begin"/>
          </w:r>
          <w:r w:rsidR="00957919">
            <w:instrText>TOC \o "1-3" \z \u \h</w:instrText>
          </w:r>
          <w:r>
            <w:fldChar w:fldCharType="separate"/>
          </w:r>
          <w:hyperlink w:history="1" w:anchor="_Toc207357635">
            <w:r w:rsidRPr="00FD20B5" w:rsidR="00784A8C">
              <w:rPr>
                <w:rStyle w:val="Hyperlink"/>
                <w:noProof/>
              </w:rPr>
              <w:t xml:space="preserve">À QUOI S'ATTENDRE? </w:t>
            </w:r>
          </w:hyperlink>
          <w:r w:rsidR="00784A8C">
            <w:rPr>
              <w:noProof/>
              <w:webHidden/>
            </w:rPr>
            <w:tab/>
          </w:r>
          <w:r w:rsidR="00784A8C">
            <w:rPr>
              <w:noProof/>
              <w:webHidden/>
            </w:rPr>
            <w:fldChar w:fldCharType="begin"/>
          </w:r>
          <w:r w:rsidR="00784A8C">
            <w:rPr>
              <w:noProof/>
              <w:webHidden/>
            </w:rPr>
            <w:instrText xml:space="preserve"> PAGEREF _Toc207357635 \h </w:instrText>
          </w:r>
          <w:r w:rsidR="00784A8C">
            <w:rPr>
              <w:noProof/>
              <w:webHidden/>
            </w:rPr>
          </w:r>
          <w:r w:rsidR="00784A8C">
            <w:rPr>
              <w:noProof/>
              <w:webHidden/>
            </w:rPr>
            <w:fldChar w:fldCharType="separate"/>
          </w:r>
          <w:hyperlink w:history="1" w:anchor="_Toc207357635">
            <w:r w:rsidR="00666625">
              <w:rPr>
                <w:noProof/>
                <w:webHidden/>
              </w:rPr>
              <w:t>1</w:t>
            </w:r>
          </w:hyperlink>
          <w:r w:rsidR="00784A8C">
            <w:rPr>
              <w:noProof/>
              <w:webHidden/>
            </w:rPr>
            <w:fldChar w:fldCharType="end"/>
          </w:r>
        </w:p>
        <w:p w:rsidR="00784A8C" w:rsidRDefault="00561DC3" w14:paraId="00F44D37" w14:textId="2D4B73BC">
          <w:pPr>
            <w:pStyle w:val="TOC1"/>
            <w:tabs>
              <w:tab w:val="right" w:leader="dot" w:pos="9350"/>
            </w:tabs>
            <w:rPr>
              <w:rFonts w:eastAsiaTheme="minorEastAsia"/>
              <w:noProof/>
              <w:sz w:val="22"/>
            </w:rPr>
          </w:pPr>
          <w:hyperlink w:history="1" w:anchor="_Toc207357636">
            <w:r w:rsidRPr="00FD20B5" w:rsidR="00784A8C">
              <w:rPr>
                <w:rStyle w:val="Hyperlink"/>
                <w:noProof/>
              </w:rPr>
              <w:t xml:space="preserve">DEMANDER UN PRODUIT FUSION </w:t>
            </w:r>
          </w:hyperlink>
          <w:r w:rsidR="00784A8C">
            <w:rPr>
              <w:noProof/>
              <w:webHidden/>
            </w:rPr>
            <w:tab/>
          </w:r>
          <w:r w:rsidR="00784A8C">
            <w:rPr>
              <w:noProof/>
              <w:webHidden/>
            </w:rPr>
            <w:fldChar w:fldCharType="begin"/>
          </w:r>
          <w:r w:rsidR="00784A8C">
            <w:rPr>
              <w:noProof/>
              <w:webHidden/>
            </w:rPr>
            <w:instrText xml:space="preserve"> PAGEREF _Toc207357636 \h </w:instrText>
          </w:r>
          <w:r w:rsidR="00784A8C">
            <w:rPr>
              <w:noProof/>
              <w:webHidden/>
            </w:rPr>
          </w:r>
          <w:r w:rsidR="00784A8C">
            <w:rPr>
              <w:noProof/>
              <w:webHidden/>
            </w:rPr>
            <w:fldChar w:fldCharType="separate"/>
          </w:r>
          <w:hyperlink w:history="1" w:anchor="_Toc207357636">
            <w:r w:rsidR="00666625">
              <w:rPr>
                <w:noProof/>
                <w:webHidden/>
              </w:rPr>
              <w:t>3</w:t>
            </w:r>
          </w:hyperlink>
          <w:r w:rsidR="00784A8C">
            <w:rPr>
              <w:noProof/>
              <w:webHidden/>
            </w:rPr>
            <w:fldChar w:fldCharType="end"/>
          </w:r>
        </w:p>
        <w:p w:rsidR="00784A8C" w:rsidRDefault="00561DC3" w14:paraId="3742EEA7" w14:textId="21AB21C2">
          <w:pPr>
            <w:pStyle w:val="TOC1"/>
            <w:tabs>
              <w:tab w:val="right" w:leader="dot" w:pos="9350"/>
            </w:tabs>
            <w:rPr>
              <w:rFonts w:eastAsiaTheme="minorEastAsia"/>
              <w:noProof/>
              <w:sz w:val="22"/>
            </w:rPr>
          </w:pPr>
          <w:hyperlink w:history="1" w:anchor="_Toc207357637">
            <w:r w:rsidRPr="00FD20B5" w:rsidR="00784A8C">
              <w:rPr>
                <w:rStyle w:val="Hyperlink"/>
                <w:noProof/>
              </w:rPr>
              <w:t xml:space="preserve">NOUVEAUX RAPPORTS DE CHANGEMENTS D'INVENTAIRE ! </w:t>
            </w:r>
          </w:hyperlink>
          <w:r w:rsidR="00784A8C">
            <w:rPr>
              <w:noProof/>
              <w:webHidden/>
            </w:rPr>
            <w:tab/>
          </w:r>
          <w:r w:rsidR="00784A8C">
            <w:rPr>
              <w:noProof/>
              <w:webHidden/>
            </w:rPr>
            <w:fldChar w:fldCharType="begin"/>
          </w:r>
          <w:r w:rsidR="00784A8C">
            <w:rPr>
              <w:noProof/>
              <w:webHidden/>
            </w:rPr>
            <w:instrText xml:space="preserve"> PAGEREF _Toc207357637 \h </w:instrText>
          </w:r>
          <w:r w:rsidR="00784A8C">
            <w:rPr>
              <w:noProof/>
              <w:webHidden/>
            </w:rPr>
          </w:r>
          <w:r w:rsidR="00784A8C">
            <w:rPr>
              <w:noProof/>
              <w:webHidden/>
            </w:rPr>
            <w:fldChar w:fldCharType="separate"/>
          </w:r>
          <w:hyperlink w:history="1" w:anchor="_Toc207357637">
            <w:r w:rsidR="00666625">
              <w:rPr>
                <w:noProof/>
                <w:webHidden/>
              </w:rPr>
              <w:t>3</w:t>
            </w:r>
          </w:hyperlink>
          <w:r w:rsidR="00784A8C">
            <w:rPr>
              <w:noProof/>
              <w:webHidden/>
            </w:rPr>
            <w:fldChar w:fldCharType="end"/>
          </w:r>
        </w:p>
        <w:p w:rsidR="00784A8C" w:rsidRDefault="00561DC3" w14:paraId="1DCA54F0" w14:textId="16131140">
          <w:pPr>
            <w:pStyle w:val="TOC2"/>
            <w:tabs>
              <w:tab w:val="right" w:leader="dot" w:pos="9350"/>
            </w:tabs>
            <w:rPr>
              <w:rFonts w:eastAsiaTheme="minorEastAsia"/>
              <w:noProof/>
              <w:sz w:val="22"/>
            </w:rPr>
          </w:pPr>
          <w:hyperlink w:history="1" w:anchor="_Toc207357638">
            <w:r w:rsidRPr="00FD20B5" w:rsidR="00784A8C">
              <w:rPr>
                <w:rStyle w:val="Hyperlink"/>
                <w:noProof/>
              </w:rPr>
              <w:t xml:space="preserve">Produits (Historique du nombre de cycles par produit) </w:t>
            </w:r>
          </w:hyperlink>
          <w:r w:rsidR="00784A8C">
            <w:rPr>
              <w:noProof/>
              <w:webHidden/>
            </w:rPr>
            <w:tab/>
          </w:r>
          <w:r w:rsidR="00784A8C">
            <w:rPr>
              <w:noProof/>
              <w:webHidden/>
            </w:rPr>
            <w:fldChar w:fldCharType="begin"/>
          </w:r>
          <w:r w:rsidR="00784A8C">
            <w:rPr>
              <w:noProof/>
              <w:webHidden/>
            </w:rPr>
            <w:instrText xml:space="preserve"> PAGEREF _Toc207357638 \h </w:instrText>
          </w:r>
          <w:r w:rsidR="00784A8C">
            <w:rPr>
              <w:noProof/>
              <w:webHidden/>
            </w:rPr>
          </w:r>
          <w:r w:rsidR="00784A8C">
            <w:rPr>
              <w:noProof/>
              <w:webHidden/>
            </w:rPr>
            <w:fldChar w:fldCharType="separate"/>
          </w:r>
          <w:hyperlink w:history="1" w:anchor="_Toc207357638">
            <w:r w:rsidR="00666625">
              <w:rPr>
                <w:noProof/>
                <w:webHidden/>
              </w:rPr>
              <w:t>4</w:t>
            </w:r>
          </w:hyperlink>
          <w:r w:rsidR="00784A8C">
            <w:rPr>
              <w:noProof/>
              <w:webHidden/>
            </w:rPr>
            <w:fldChar w:fldCharType="end"/>
          </w:r>
        </w:p>
        <w:p w:rsidR="00784A8C" w:rsidRDefault="00561DC3" w14:paraId="76293913" w14:textId="5A01FDE3">
          <w:pPr>
            <w:pStyle w:val="TOC2"/>
            <w:tabs>
              <w:tab w:val="right" w:leader="dot" w:pos="9350"/>
            </w:tabs>
            <w:rPr>
              <w:rFonts w:eastAsiaTheme="minorEastAsia"/>
              <w:noProof/>
              <w:sz w:val="22"/>
            </w:rPr>
          </w:pPr>
          <w:hyperlink w:history="1" w:anchor="_Toc207357639">
            <w:r w:rsidRPr="00FD20B5" w:rsidR="00784A8C">
              <w:rPr>
                <w:rStyle w:val="Hyperlink"/>
                <w:noProof/>
              </w:rPr>
              <w:t xml:space="preserve">Rapport sur les transactions d'inventaire </w:t>
            </w:r>
          </w:hyperlink>
          <w:r w:rsidR="00784A8C">
            <w:rPr>
              <w:noProof/>
              <w:webHidden/>
            </w:rPr>
            <w:tab/>
          </w:r>
          <w:r w:rsidR="00784A8C">
            <w:rPr>
              <w:noProof/>
              <w:webHidden/>
            </w:rPr>
            <w:fldChar w:fldCharType="begin"/>
          </w:r>
          <w:r w:rsidR="00784A8C">
            <w:rPr>
              <w:noProof/>
              <w:webHidden/>
            </w:rPr>
            <w:instrText xml:space="preserve"> PAGEREF _Toc207357639 \h </w:instrText>
          </w:r>
          <w:r w:rsidR="00784A8C">
            <w:rPr>
              <w:noProof/>
              <w:webHidden/>
            </w:rPr>
          </w:r>
          <w:r w:rsidR="00784A8C">
            <w:rPr>
              <w:noProof/>
              <w:webHidden/>
            </w:rPr>
            <w:fldChar w:fldCharType="separate"/>
          </w:r>
          <w:hyperlink w:history="1" w:anchor="_Toc207357639">
            <w:r w:rsidR="00666625">
              <w:rPr>
                <w:noProof/>
                <w:webHidden/>
              </w:rPr>
              <w:t>5</w:t>
            </w:r>
          </w:hyperlink>
          <w:r w:rsidR="00784A8C">
            <w:rPr>
              <w:noProof/>
              <w:webHidden/>
            </w:rPr>
            <w:fldChar w:fldCharType="end"/>
          </w:r>
        </w:p>
        <w:p w:rsidR="00784A8C" w:rsidRDefault="00561DC3" w14:paraId="267F8F75" w14:textId="56CD889C">
          <w:pPr>
            <w:pStyle w:val="TOC2"/>
            <w:tabs>
              <w:tab w:val="right" w:leader="dot" w:pos="9350"/>
            </w:tabs>
            <w:rPr>
              <w:rFonts w:eastAsiaTheme="minorEastAsia"/>
              <w:noProof/>
              <w:sz w:val="22"/>
            </w:rPr>
          </w:pPr>
          <w:hyperlink w:history="1" w:anchor="_Toc207357640">
            <w:r w:rsidRPr="00FD20B5" w:rsidR="00784A8C">
              <w:rPr>
                <w:rStyle w:val="Hyperlink"/>
                <w:noProof/>
              </w:rPr>
              <w:t xml:space="preserve">Tableau de bord de précision des stocks </w:t>
            </w:r>
          </w:hyperlink>
          <w:r w:rsidR="00784A8C">
            <w:rPr>
              <w:noProof/>
              <w:webHidden/>
            </w:rPr>
            <w:tab/>
          </w:r>
          <w:r w:rsidR="00784A8C">
            <w:rPr>
              <w:noProof/>
              <w:webHidden/>
            </w:rPr>
            <w:fldChar w:fldCharType="begin"/>
          </w:r>
          <w:r w:rsidR="00784A8C">
            <w:rPr>
              <w:noProof/>
              <w:webHidden/>
            </w:rPr>
            <w:instrText xml:space="preserve"> PAGEREF _Toc207357640 \h </w:instrText>
          </w:r>
          <w:r w:rsidR="00784A8C">
            <w:rPr>
              <w:noProof/>
              <w:webHidden/>
            </w:rPr>
          </w:r>
          <w:r w:rsidR="00784A8C">
            <w:rPr>
              <w:noProof/>
              <w:webHidden/>
            </w:rPr>
            <w:fldChar w:fldCharType="separate"/>
          </w:r>
          <w:hyperlink w:history="1" w:anchor="_Toc207357640">
            <w:r w:rsidR="00666625">
              <w:rPr>
                <w:noProof/>
                <w:webHidden/>
              </w:rPr>
              <w:t>6</w:t>
            </w:r>
          </w:hyperlink>
          <w:r w:rsidR="00784A8C">
            <w:rPr>
              <w:noProof/>
              <w:webHidden/>
            </w:rPr>
            <w:fldChar w:fldCharType="end"/>
          </w:r>
        </w:p>
        <w:p w:rsidR="00784A8C" w:rsidRDefault="00561DC3" w14:paraId="06AF313B" w14:textId="369BB705">
          <w:pPr>
            <w:pStyle w:val="TOC3"/>
            <w:tabs>
              <w:tab w:val="right" w:leader="dot" w:pos="9350"/>
            </w:tabs>
            <w:rPr>
              <w:rFonts w:eastAsiaTheme="minorEastAsia"/>
              <w:noProof/>
              <w:sz w:val="22"/>
            </w:rPr>
          </w:pPr>
          <w:hyperlink w:history="1" w:anchor="_Toc207357641">
            <w:r w:rsidRPr="00FD20B5" w:rsidR="00784A8C">
              <w:rPr>
                <w:rStyle w:val="Hyperlink"/>
                <w:noProof/>
              </w:rPr>
              <w:t xml:space="preserve">Inventaires de produits </w:t>
            </w:r>
          </w:hyperlink>
          <w:r w:rsidR="00784A8C">
            <w:rPr>
              <w:noProof/>
              <w:webHidden/>
            </w:rPr>
            <w:tab/>
          </w:r>
          <w:r w:rsidR="00784A8C">
            <w:rPr>
              <w:noProof/>
              <w:webHidden/>
            </w:rPr>
            <w:fldChar w:fldCharType="begin"/>
          </w:r>
          <w:r w:rsidR="00784A8C">
            <w:rPr>
              <w:noProof/>
              <w:webHidden/>
            </w:rPr>
            <w:instrText xml:space="preserve"> PAGEREF _Toc207357641 \h </w:instrText>
          </w:r>
          <w:r w:rsidR="00784A8C">
            <w:rPr>
              <w:noProof/>
              <w:webHidden/>
            </w:rPr>
          </w:r>
          <w:r w:rsidR="00784A8C">
            <w:rPr>
              <w:noProof/>
              <w:webHidden/>
            </w:rPr>
            <w:fldChar w:fldCharType="separate"/>
          </w:r>
          <w:hyperlink w:history="1" w:anchor="_Toc207357641">
            <w:r w:rsidR="00666625">
              <w:rPr>
                <w:noProof/>
                <w:webHidden/>
              </w:rPr>
              <w:t>6</w:t>
            </w:r>
          </w:hyperlink>
          <w:r w:rsidR="00784A8C">
            <w:rPr>
              <w:noProof/>
              <w:webHidden/>
            </w:rPr>
            <w:fldChar w:fldCharType="end"/>
          </w:r>
        </w:p>
        <w:p w:rsidR="00784A8C" w:rsidRDefault="00561DC3" w14:paraId="0A0060FB" w14:textId="505BA309">
          <w:pPr>
            <w:pStyle w:val="TOC3"/>
            <w:tabs>
              <w:tab w:val="right" w:leader="dot" w:pos="9350"/>
            </w:tabs>
            <w:rPr>
              <w:rFonts w:eastAsiaTheme="minorEastAsia"/>
              <w:noProof/>
              <w:sz w:val="22"/>
            </w:rPr>
          </w:pPr>
          <w:hyperlink w:history="1" w:anchor="_Toc207357642">
            <w:r w:rsidRPr="00FD20B5" w:rsidR="00784A8C">
              <w:rPr>
                <w:rStyle w:val="Hyperlink"/>
                <w:noProof/>
              </w:rPr>
              <w:t xml:space="preserve">Précision de l'inventaire </w:t>
            </w:r>
          </w:hyperlink>
          <w:r w:rsidR="00784A8C">
            <w:rPr>
              <w:noProof/>
              <w:webHidden/>
            </w:rPr>
            <w:tab/>
          </w:r>
          <w:r w:rsidR="00784A8C">
            <w:rPr>
              <w:noProof/>
              <w:webHidden/>
            </w:rPr>
            <w:fldChar w:fldCharType="begin"/>
          </w:r>
          <w:r w:rsidR="00784A8C">
            <w:rPr>
              <w:noProof/>
              <w:webHidden/>
            </w:rPr>
            <w:instrText xml:space="preserve"> PAGEREF _Toc207357642 \h </w:instrText>
          </w:r>
          <w:r w:rsidR="00784A8C">
            <w:rPr>
              <w:noProof/>
              <w:webHidden/>
            </w:rPr>
          </w:r>
          <w:r w:rsidR="00784A8C">
            <w:rPr>
              <w:noProof/>
              <w:webHidden/>
            </w:rPr>
            <w:fldChar w:fldCharType="separate"/>
          </w:r>
          <w:hyperlink w:history="1" w:anchor="_Toc207357642">
            <w:r w:rsidR="00666625">
              <w:rPr>
                <w:noProof/>
                <w:webHidden/>
              </w:rPr>
              <w:t>7</w:t>
            </w:r>
          </w:hyperlink>
          <w:r w:rsidR="00784A8C">
            <w:rPr>
              <w:noProof/>
              <w:webHidden/>
            </w:rPr>
            <w:fldChar w:fldCharType="end"/>
          </w:r>
        </w:p>
        <w:p w:rsidR="00784A8C" w:rsidRDefault="00561DC3" w14:paraId="4B9527AB" w14:textId="662F9030">
          <w:pPr>
            <w:pStyle w:val="TOC3"/>
            <w:tabs>
              <w:tab w:val="right" w:leader="dot" w:pos="9350"/>
            </w:tabs>
            <w:rPr>
              <w:rFonts w:eastAsiaTheme="minorEastAsia"/>
              <w:noProof/>
              <w:sz w:val="22"/>
            </w:rPr>
          </w:pPr>
          <w:hyperlink w:history="1" w:anchor="_Toc207357643">
            <w:r w:rsidRPr="00FD20B5" w:rsidR="00784A8C">
              <w:rPr>
                <w:rStyle w:val="Hyperlink"/>
                <w:noProof/>
              </w:rPr>
              <w:t xml:space="preserve">Réduction des stocks </w:t>
            </w:r>
          </w:hyperlink>
          <w:r w:rsidR="00784A8C">
            <w:rPr>
              <w:noProof/>
              <w:webHidden/>
            </w:rPr>
            <w:tab/>
          </w:r>
          <w:r w:rsidR="00784A8C">
            <w:rPr>
              <w:noProof/>
              <w:webHidden/>
            </w:rPr>
            <w:fldChar w:fldCharType="begin"/>
          </w:r>
          <w:r w:rsidR="00784A8C">
            <w:rPr>
              <w:noProof/>
              <w:webHidden/>
            </w:rPr>
            <w:instrText xml:space="preserve"> PAGEREF _Toc207357643 \h </w:instrText>
          </w:r>
          <w:r w:rsidR="00784A8C">
            <w:rPr>
              <w:noProof/>
              <w:webHidden/>
            </w:rPr>
          </w:r>
          <w:r w:rsidR="00784A8C">
            <w:rPr>
              <w:noProof/>
              <w:webHidden/>
            </w:rPr>
            <w:fldChar w:fldCharType="separate"/>
          </w:r>
          <w:hyperlink w:history="1" w:anchor="_Toc207357643">
            <w:r w:rsidR="00666625">
              <w:rPr>
                <w:noProof/>
                <w:webHidden/>
              </w:rPr>
              <w:t>7</w:t>
            </w:r>
          </w:hyperlink>
          <w:r w:rsidR="00784A8C">
            <w:rPr>
              <w:noProof/>
              <w:webHidden/>
            </w:rPr>
            <w:fldChar w:fldCharType="end"/>
          </w:r>
        </w:p>
        <w:p w:rsidR="00784A8C" w:rsidRDefault="00561DC3" w14:paraId="341FA496" w14:textId="37021DED">
          <w:pPr>
            <w:pStyle w:val="TOC2"/>
            <w:tabs>
              <w:tab w:val="right" w:leader="dot" w:pos="9350"/>
            </w:tabs>
            <w:rPr>
              <w:rFonts w:eastAsiaTheme="minorEastAsia"/>
              <w:noProof/>
              <w:sz w:val="22"/>
            </w:rPr>
          </w:pPr>
          <w:hyperlink w:history="1" w:anchor="_Toc207357644">
            <w:r w:rsidRPr="00FD20B5" w:rsidR="00784A8C">
              <w:rPr>
                <w:rStyle w:val="Hyperlink"/>
                <w:noProof/>
              </w:rPr>
              <w:t xml:space="preserve">Refactorisation des transactions d'inventaire [technique] </w:t>
            </w:r>
          </w:hyperlink>
          <w:r w:rsidR="00784A8C">
            <w:rPr>
              <w:noProof/>
              <w:webHidden/>
            </w:rPr>
            <w:tab/>
          </w:r>
          <w:r w:rsidR="00784A8C">
            <w:rPr>
              <w:noProof/>
              <w:webHidden/>
            </w:rPr>
            <w:fldChar w:fldCharType="begin"/>
          </w:r>
          <w:r w:rsidR="00784A8C">
            <w:rPr>
              <w:noProof/>
              <w:webHidden/>
            </w:rPr>
            <w:instrText xml:space="preserve"> PAGEREF _Toc207357644 \h </w:instrText>
          </w:r>
          <w:r w:rsidR="00784A8C">
            <w:rPr>
              <w:noProof/>
              <w:webHidden/>
            </w:rPr>
          </w:r>
          <w:r w:rsidR="00784A8C">
            <w:rPr>
              <w:noProof/>
              <w:webHidden/>
            </w:rPr>
            <w:fldChar w:fldCharType="separate"/>
          </w:r>
          <w:hyperlink w:history="1" w:anchor="_Toc207357644">
            <w:r w:rsidR="00666625">
              <w:rPr>
                <w:noProof/>
                <w:webHidden/>
              </w:rPr>
              <w:t>7</w:t>
            </w:r>
          </w:hyperlink>
          <w:r w:rsidR="00784A8C">
            <w:rPr>
              <w:noProof/>
              <w:webHidden/>
            </w:rPr>
            <w:fldChar w:fldCharType="end"/>
          </w:r>
        </w:p>
        <w:p w:rsidR="00784A8C" w:rsidRDefault="00561DC3" w14:paraId="3CF9E3B0" w14:textId="0C7FD86A">
          <w:pPr>
            <w:pStyle w:val="TOC1"/>
            <w:tabs>
              <w:tab w:val="right" w:leader="dot" w:pos="9350"/>
            </w:tabs>
            <w:rPr>
              <w:rFonts w:eastAsiaTheme="minorEastAsia"/>
              <w:noProof/>
              <w:sz w:val="22"/>
            </w:rPr>
          </w:pPr>
          <w:hyperlink w:history="1" w:anchor="_Toc207357645">
            <w:r w:rsidRPr="00FD20B5" w:rsidR="00784A8C">
              <w:rPr>
                <w:rStyle w:val="Hyperlink"/>
                <w:noProof/>
              </w:rPr>
              <w:t xml:space="preserve">AMÉLIORATIONS DU COMPTAGE DES CYCLES </w:t>
            </w:r>
          </w:hyperlink>
          <w:r w:rsidR="00784A8C">
            <w:rPr>
              <w:noProof/>
              <w:webHidden/>
            </w:rPr>
            <w:tab/>
          </w:r>
          <w:r w:rsidR="00784A8C">
            <w:rPr>
              <w:noProof/>
              <w:webHidden/>
            </w:rPr>
            <w:fldChar w:fldCharType="begin"/>
          </w:r>
          <w:r w:rsidR="00784A8C">
            <w:rPr>
              <w:noProof/>
              <w:webHidden/>
            </w:rPr>
            <w:instrText xml:space="preserve"> PAGEREF _Toc207357645 \h </w:instrText>
          </w:r>
          <w:r w:rsidR="00784A8C">
            <w:rPr>
              <w:noProof/>
              <w:webHidden/>
            </w:rPr>
          </w:r>
          <w:r w:rsidR="00784A8C">
            <w:rPr>
              <w:noProof/>
              <w:webHidden/>
            </w:rPr>
            <w:fldChar w:fldCharType="separate"/>
          </w:r>
          <w:hyperlink w:history="1" w:anchor="_Toc207357645">
            <w:r w:rsidR="00666625">
              <w:rPr>
                <w:noProof/>
                <w:webHidden/>
              </w:rPr>
              <w:t>7</w:t>
            </w:r>
          </w:hyperlink>
          <w:r w:rsidR="00784A8C">
            <w:rPr>
              <w:noProof/>
              <w:webHidden/>
            </w:rPr>
            <w:fldChar w:fldCharType="end"/>
          </w:r>
        </w:p>
        <w:p w:rsidR="00784A8C" w:rsidRDefault="00561DC3" w14:paraId="59A09E91" w14:textId="0F237BDC">
          <w:pPr>
            <w:pStyle w:val="TOC3"/>
            <w:tabs>
              <w:tab w:val="right" w:leader="dot" w:pos="9350"/>
            </w:tabs>
            <w:rPr>
              <w:rFonts w:eastAsiaTheme="minorEastAsia"/>
              <w:noProof/>
              <w:sz w:val="22"/>
            </w:rPr>
          </w:pPr>
          <w:hyperlink w:history="1" w:anchor="_Toc207357646">
            <w:r w:rsidRPr="00FD20B5" w:rsidR="00784A8C">
              <w:rPr>
                <w:rStyle w:val="Hyperlink"/>
                <w:noProof/>
              </w:rPr>
              <w:t xml:space="preserve">Icône d'ajustement d'inventaire différente dans l'historique des stocks </w:t>
            </w:r>
          </w:hyperlink>
          <w:r w:rsidR="00784A8C">
            <w:rPr>
              <w:noProof/>
              <w:webHidden/>
            </w:rPr>
            <w:tab/>
          </w:r>
          <w:r w:rsidR="00784A8C">
            <w:rPr>
              <w:noProof/>
              <w:webHidden/>
            </w:rPr>
            <w:fldChar w:fldCharType="begin"/>
          </w:r>
          <w:r w:rsidR="00784A8C">
            <w:rPr>
              <w:noProof/>
              <w:webHidden/>
            </w:rPr>
            <w:instrText xml:space="preserve"> PAGEREF _Toc207357646 \h </w:instrText>
          </w:r>
          <w:r w:rsidR="00784A8C">
            <w:rPr>
              <w:noProof/>
              <w:webHidden/>
            </w:rPr>
          </w:r>
          <w:r w:rsidR="00784A8C">
            <w:rPr>
              <w:noProof/>
              <w:webHidden/>
            </w:rPr>
            <w:fldChar w:fldCharType="separate"/>
          </w:r>
          <w:hyperlink w:history="1" w:anchor="_Toc207357646">
            <w:r w:rsidR="00666625">
              <w:rPr>
                <w:noProof/>
                <w:webHidden/>
              </w:rPr>
              <w:t>7</w:t>
            </w:r>
          </w:hyperlink>
          <w:r w:rsidR="00784A8C">
            <w:rPr>
              <w:noProof/>
              <w:webHidden/>
            </w:rPr>
            <w:fldChar w:fldCharType="end"/>
          </w:r>
        </w:p>
        <w:p w:rsidR="00784A8C" w:rsidRDefault="00561DC3" w14:paraId="01F01365" w14:textId="1A38DE51">
          <w:pPr>
            <w:pStyle w:val="TOC3"/>
            <w:tabs>
              <w:tab w:val="right" w:leader="dot" w:pos="9350"/>
            </w:tabs>
            <w:rPr>
              <w:rFonts w:eastAsiaTheme="minorEastAsia"/>
              <w:noProof/>
              <w:sz w:val="22"/>
            </w:rPr>
          </w:pPr>
          <w:hyperlink w:history="1" w:anchor="_Toc207357647">
            <w:r w:rsidRPr="00FD20B5" w:rsidR="00784A8C">
              <w:rPr>
                <w:rStyle w:val="Hyperlink"/>
                <w:noProof/>
              </w:rPr>
              <w:t xml:space="preserve">Formats de date uniformes </w:t>
            </w:r>
          </w:hyperlink>
          <w:r w:rsidR="00784A8C">
            <w:rPr>
              <w:noProof/>
              <w:webHidden/>
            </w:rPr>
            <w:tab/>
          </w:r>
          <w:r w:rsidR="00784A8C">
            <w:rPr>
              <w:noProof/>
              <w:webHidden/>
            </w:rPr>
            <w:fldChar w:fldCharType="begin"/>
          </w:r>
          <w:r w:rsidR="00784A8C">
            <w:rPr>
              <w:noProof/>
              <w:webHidden/>
            </w:rPr>
            <w:instrText xml:space="preserve"> PAGEREF _Toc207357647 \h </w:instrText>
          </w:r>
          <w:r w:rsidR="00784A8C">
            <w:rPr>
              <w:noProof/>
              <w:webHidden/>
            </w:rPr>
          </w:r>
          <w:r w:rsidR="00784A8C">
            <w:rPr>
              <w:noProof/>
              <w:webHidden/>
            </w:rPr>
            <w:fldChar w:fldCharType="separate"/>
          </w:r>
          <w:hyperlink w:history="1" w:anchor="_Toc207357647">
            <w:r w:rsidR="00666625">
              <w:rPr>
                <w:noProof/>
                <w:webHidden/>
              </w:rPr>
              <w:t>8</w:t>
            </w:r>
          </w:hyperlink>
          <w:r w:rsidR="00784A8C">
            <w:rPr>
              <w:noProof/>
              <w:webHidden/>
            </w:rPr>
            <w:fldChar w:fldCharType="end"/>
          </w:r>
        </w:p>
        <w:p w:rsidR="00784A8C" w:rsidRDefault="00561DC3" w14:paraId="7224C0B0" w14:textId="5AF51404">
          <w:pPr>
            <w:pStyle w:val="TOC3"/>
            <w:tabs>
              <w:tab w:val="right" w:leader="dot" w:pos="9350"/>
            </w:tabs>
            <w:rPr>
              <w:rFonts w:eastAsiaTheme="minorEastAsia"/>
              <w:noProof/>
              <w:sz w:val="22"/>
            </w:rPr>
          </w:pPr>
          <w:hyperlink w:history="1" w:anchor="_Toc207357648">
            <w:r w:rsidRPr="00FD20B5" w:rsidR="00784A8C">
              <w:rPr>
                <w:rStyle w:val="Hyperlink"/>
                <w:noProof/>
              </w:rPr>
              <w:t xml:space="preserve">Ne pas voir les produits inactifs pour le nombre de cycles </w:t>
            </w:r>
          </w:hyperlink>
          <w:r w:rsidR="00784A8C">
            <w:rPr>
              <w:noProof/>
              <w:webHidden/>
            </w:rPr>
            <w:tab/>
          </w:r>
          <w:r w:rsidR="00784A8C">
            <w:rPr>
              <w:noProof/>
              <w:webHidden/>
            </w:rPr>
            <w:fldChar w:fldCharType="begin"/>
          </w:r>
          <w:r w:rsidR="00784A8C">
            <w:rPr>
              <w:noProof/>
              <w:webHidden/>
            </w:rPr>
            <w:instrText xml:space="preserve"> PAGEREF _Toc207357648 \h </w:instrText>
          </w:r>
          <w:r w:rsidR="00784A8C">
            <w:rPr>
              <w:noProof/>
              <w:webHidden/>
            </w:rPr>
          </w:r>
          <w:r w:rsidR="00784A8C">
            <w:rPr>
              <w:noProof/>
              <w:webHidden/>
            </w:rPr>
            <w:fldChar w:fldCharType="separate"/>
          </w:r>
          <w:hyperlink w:history="1" w:anchor="_Toc207357648">
            <w:r w:rsidR="00666625">
              <w:rPr>
                <w:noProof/>
                <w:webHidden/>
              </w:rPr>
              <w:t>8</w:t>
            </w:r>
          </w:hyperlink>
          <w:r w:rsidR="00784A8C">
            <w:rPr>
              <w:noProof/>
              <w:webHidden/>
            </w:rPr>
            <w:fldChar w:fldCharType="end"/>
          </w:r>
        </w:p>
        <w:p w:rsidR="00784A8C" w:rsidRDefault="00561DC3" w14:paraId="07010639" w14:textId="34EA0229">
          <w:pPr>
            <w:pStyle w:val="TOC3"/>
            <w:tabs>
              <w:tab w:val="right" w:leader="dot" w:pos="9350"/>
            </w:tabs>
            <w:rPr>
              <w:rFonts w:eastAsiaTheme="minorEastAsia"/>
              <w:noProof/>
              <w:sz w:val="22"/>
            </w:rPr>
          </w:pPr>
          <w:hyperlink w:history="1" w:anchor="_Toc207357649">
            <w:r w:rsidRPr="00FD20B5" w:rsidR="00784A8C">
              <w:rPr>
                <w:rStyle w:val="Hyperlink"/>
                <w:noProof/>
              </w:rPr>
              <w:t xml:space="preserve">Impossible d'accéder au comptage de cycles à partir d'un autre emplacement </w:t>
            </w:r>
          </w:hyperlink>
          <w:r w:rsidR="00784A8C">
            <w:rPr>
              <w:noProof/>
              <w:webHidden/>
            </w:rPr>
            <w:tab/>
          </w:r>
          <w:r w:rsidR="00784A8C">
            <w:rPr>
              <w:noProof/>
              <w:webHidden/>
            </w:rPr>
            <w:fldChar w:fldCharType="begin"/>
          </w:r>
          <w:r w:rsidR="00784A8C">
            <w:rPr>
              <w:noProof/>
              <w:webHidden/>
            </w:rPr>
            <w:instrText xml:space="preserve"> PAGEREF _Toc207357649 \h </w:instrText>
          </w:r>
          <w:r w:rsidR="00784A8C">
            <w:rPr>
              <w:noProof/>
              <w:webHidden/>
            </w:rPr>
          </w:r>
          <w:r w:rsidR="00784A8C">
            <w:rPr>
              <w:noProof/>
              <w:webHidden/>
            </w:rPr>
            <w:fldChar w:fldCharType="separate"/>
          </w:r>
          <w:hyperlink w:history="1" w:anchor="_Toc207357649">
            <w:r w:rsidR="00666625">
              <w:rPr>
                <w:noProof/>
                <w:webHidden/>
              </w:rPr>
              <w:t>8</w:t>
            </w:r>
          </w:hyperlink>
          <w:r w:rsidR="00784A8C">
            <w:rPr>
              <w:noProof/>
              <w:webHidden/>
            </w:rPr>
            <w:fldChar w:fldCharType="end"/>
          </w:r>
        </w:p>
        <w:p w:rsidR="00784A8C" w:rsidRDefault="00561DC3" w14:paraId="4D585A80" w14:textId="0D58343C">
          <w:pPr>
            <w:pStyle w:val="TOC3"/>
            <w:tabs>
              <w:tab w:val="right" w:leader="dot" w:pos="9350"/>
            </w:tabs>
            <w:rPr>
              <w:rFonts w:eastAsiaTheme="minorEastAsia"/>
              <w:noProof/>
              <w:sz w:val="22"/>
            </w:rPr>
          </w:pPr>
          <w:hyperlink w:history="1" w:anchor="_Toc207357650">
            <w:r w:rsidRPr="00FD20B5" w:rsidR="00784A8C">
              <w:rPr>
                <w:rStyle w:val="Hyperlink"/>
                <w:noProof/>
              </w:rPr>
              <w:t xml:space="preserve">Désigner une personne et une date limite pour un décompte et un recomptage </w:t>
            </w:r>
          </w:hyperlink>
          <w:r w:rsidR="00784A8C">
            <w:rPr>
              <w:noProof/>
              <w:webHidden/>
            </w:rPr>
            <w:tab/>
          </w:r>
          <w:r w:rsidR="00784A8C">
            <w:rPr>
              <w:noProof/>
              <w:webHidden/>
            </w:rPr>
            <w:fldChar w:fldCharType="begin"/>
          </w:r>
          <w:r w:rsidR="00784A8C">
            <w:rPr>
              <w:noProof/>
              <w:webHidden/>
            </w:rPr>
            <w:instrText xml:space="preserve"> PAGEREF _Toc207357650 \h </w:instrText>
          </w:r>
          <w:r w:rsidR="00784A8C">
            <w:rPr>
              <w:noProof/>
              <w:webHidden/>
            </w:rPr>
          </w:r>
          <w:r w:rsidR="00784A8C">
            <w:rPr>
              <w:noProof/>
              <w:webHidden/>
            </w:rPr>
            <w:fldChar w:fldCharType="separate"/>
          </w:r>
          <w:hyperlink w:history="1" w:anchor="_Toc207357650">
            <w:r w:rsidR="00666625">
              <w:rPr>
                <w:noProof/>
                <w:webHidden/>
              </w:rPr>
              <w:t>8</w:t>
            </w:r>
          </w:hyperlink>
          <w:r w:rsidR="00784A8C">
            <w:rPr>
              <w:noProof/>
              <w:webHidden/>
            </w:rPr>
            <w:fldChar w:fldCharType="end"/>
          </w:r>
        </w:p>
        <w:p w:rsidR="00784A8C" w:rsidRDefault="00561DC3" w14:paraId="5194B744" w14:textId="0F9B67D4">
          <w:pPr>
            <w:pStyle w:val="TOC3"/>
            <w:tabs>
              <w:tab w:val="right" w:leader="dot" w:pos="9350"/>
            </w:tabs>
            <w:rPr>
              <w:rFonts w:eastAsiaTheme="minorEastAsia"/>
              <w:noProof/>
              <w:sz w:val="22"/>
            </w:rPr>
          </w:pPr>
          <w:hyperlink w:history="1" w:anchor="_Toc207357651">
            <w:r w:rsidRPr="00FD20B5" w:rsidR="00784A8C">
              <w:rPr>
                <w:rStyle w:val="Hyperlink"/>
                <w:noProof/>
              </w:rPr>
              <w:t xml:space="preserve">Voir les zones dans les onglets de comptage cyclique et les flux de travail </w:t>
            </w:r>
          </w:hyperlink>
          <w:r w:rsidR="00784A8C">
            <w:rPr>
              <w:noProof/>
              <w:webHidden/>
            </w:rPr>
            <w:tab/>
          </w:r>
          <w:r w:rsidR="00784A8C">
            <w:rPr>
              <w:noProof/>
              <w:webHidden/>
            </w:rPr>
            <w:fldChar w:fldCharType="begin"/>
          </w:r>
          <w:r w:rsidR="00784A8C">
            <w:rPr>
              <w:noProof/>
              <w:webHidden/>
            </w:rPr>
            <w:instrText xml:space="preserve"> PAGEREF _Toc207357651 \h </w:instrText>
          </w:r>
          <w:r w:rsidR="00784A8C">
            <w:rPr>
              <w:noProof/>
              <w:webHidden/>
            </w:rPr>
          </w:r>
          <w:r w:rsidR="00784A8C">
            <w:rPr>
              <w:noProof/>
              <w:webHidden/>
            </w:rPr>
            <w:fldChar w:fldCharType="separate"/>
          </w:r>
          <w:hyperlink w:history="1" w:anchor="_Toc207357651">
            <w:r w:rsidR="00666625">
              <w:rPr>
                <w:noProof/>
                <w:webHidden/>
              </w:rPr>
              <w:t>9</w:t>
            </w:r>
          </w:hyperlink>
          <w:r w:rsidR="00784A8C">
            <w:rPr>
              <w:noProof/>
              <w:webHidden/>
            </w:rPr>
            <w:fldChar w:fldCharType="end"/>
          </w:r>
        </w:p>
        <w:p w:rsidR="00784A8C" w:rsidRDefault="00561DC3" w14:paraId="51479294" w14:textId="69CCE2F1">
          <w:pPr>
            <w:pStyle w:val="TOC3"/>
            <w:tabs>
              <w:tab w:val="right" w:leader="dot" w:pos="9350"/>
            </w:tabs>
            <w:rPr>
              <w:rFonts w:eastAsiaTheme="minorEastAsia"/>
              <w:noProof/>
              <w:sz w:val="22"/>
            </w:rPr>
          </w:pPr>
          <w:hyperlink w:history="1" w:anchor="_Toc207357652">
            <w:r w:rsidRPr="00FD20B5" w:rsidR="00784A8C">
              <w:rPr>
                <w:rStyle w:val="Hyperlink"/>
                <w:noProof/>
              </w:rPr>
              <w:t xml:space="preserve">Vérifiez si les produits sont déjà en cours de comptage/résolution </w:t>
            </w:r>
          </w:hyperlink>
          <w:r w:rsidR="00784A8C">
            <w:rPr>
              <w:noProof/>
              <w:webHidden/>
            </w:rPr>
            <w:tab/>
          </w:r>
          <w:r w:rsidR="00784A8C">
            <w:rPr>
              <w:noProof/>
              <w:webHidden/>
            </w:rPr>
            <w:fldChar w:fldCharType="begin"/>
          </w:r>
          <w:r w:rsidR="00784A8C">
            <w:rPr>
              <w:noProof/>
              <w:webHidden/>
            </w:rPr>
            <w:instrText xml:space="preserve"> PAGEREF _Toc207357652 \h </w:instrText>
          </w:r>
          <w:r w:rsidR="00784A8C">
            <w:rPr>
              <w:noProof/>
              <w:webHidden/>
            </w:rPr>
          </w:r>
          <w:r w:rsidR="00784A8C">
            <w:rPr>
              <w:noProof/>
              <w:webHidden/>
            </w:rPr>
            <w:fldChar w:fldCharType="separate"/>
          </w:r>
          <w:hyperlink w:history="1" w:anchor="_Toc207357652">
            <w:r w:rsidR="00666625">
              <w:rPr>
                <w:noProof/>
                <w:webHidden/>
              </w:rPr>
              <w:t>10</w:t>
            </w:r>
          </w:hyperlink>
          <w:r w:rsidR="00784A8C">
            <w:rPr>
              <w:noProof/>
              <w:webHidden/>
            </w:rPr>
            <w:fldChar w:fldCharType="end"/>
          </w:r>
        </w:p>
        <w:p w:rsidR="00784A8C" w:rsidRDefault="00561DC3" w14:paraId="41CF20AA" w14:textId="37A248D3">
          <w:pPr>
            <w:pStyle w:val="TOC3"/>
            <w:tabs>
              <w:tab w:val="right" w:leader="dot" w:pos="9350"/>
            </w:tabs>
            <w:rPr>
              <w:rFonts w:eastAsiaTheme="minorEastAsia"/>
              <w:noProof/>
              <w:sz w:val="22"/>
            </w:rPr>
          </w:pPr>
          <w:hyperlink w:history="1" w:anchor="_Toc207357653">
            <w:r w:rsidRPr="00FD20B5" w:rsidR="00784A8C">
              <w:rPr>
                <w:rStyle w:val="Hyperlink"/>
                <w:noProof/>
              </w:rPr>
              <w:t xml:space="preserve">Impossible de compter les produits sélectionnés pour une expédition sortante en attente </w:t>
            </w:r>
          </w:hyperlink>
          <w:r w:rsidR="00784A8C">
            <w:rPr>
              <w:noProof/>
              <w:webHidden/>
            </w:rPr>
            <w:tab/>
          </w:r>
          <w:r w:rsidR="00784A8C">
            <w:rPr>
              <w:noProof/>
              <w:webHidden/>
            </w:rPr>
            <w:fldChar w:fldCharType="begin"/>
          </w:r>
          <w:r w:rsidR="00784A8C">
            <w:rPr>
              <w:noProof/>
              <w:webHidden/>
            </w:rPr>
            <w:instrText xml:space="preserve"> PAGEREF _Toc207357653 \h </w:instrText>
          </w:r>
          <w:r w:rsidR="00784A8C">
            <w:rPr>
              <w:noProof/>
              <w:webHidden/>
            </w:rPr>
          </w:r>
          <w:r w:rsidR="00784A8C">
            <w:rPr>
              <w:noProof/>
              <w:webHidden/>
            </w:rPr>
            <w:fldChar w:fldCharType="separate"/>
          </w:r>
          <w:hyperlink w:history="1" w:anchor="_Toc207357653">
            <w:r w:rsidR="00666625">
              <w:rPr>
                <w:noProof/>
                <w:webHidden/>
              </w:rPr>
              <w:t>10</w:t>
            </w:r>
          </w:hyperlink>
          <w:r w:rsidR="00784A8C">
            <w:rPr>
              <w:noProof/>
              <w:webHidden/>
            </w:rPr>
            <w:fldChar w:fldCharType="end"/>
          </w:r>
        </w:p>
        <w:p w:rsidR="00784A8C" w:rsidRDefault="00561DC3" w14:paraId="4224FEFC" w14:textId="45B600F8">
          <w:pPr>
            <w:pStyle w:val="TOC3"/>
            <w:tabs>
              <w:tab w:val="right" w:leader="dot" w:pos="9350"/>
            </w:tabs>
            <w:rPr>
              <w:rFonts w:eastAsiaTheme="minorEastAsia"/>
              <w:noProof/>
              <w:sz w:val="22"/>
            </w:rPr>
          </w:pPr>
          <w:hyperlink w:history="1" w:anchor="_Toc207357654">
            <w:r w:rsidRPr="00FD20B5" w:rsidR="00784A8C">
              <w:rPr>
                <w:rStyle w:val="Hyperlink"/>
                <w:noProof/>
              </w:rPr>
              <w:t xml:space="preserve">Trier les produits par ordre alphabétique dans les workflows de comptage et de recomptage </w:t>
            </w:r>
          </w:hyperlink>
          <w:r w:rsidR="00784A8C">
            <w:rPr>
              <w:noProof/>
              <w:webHidden/>
            </w:rPr>
            <w:tab/>
          </w:r>
          <w:r w:rsidR="00784A8C">
            <w:rPr>
              <w:noProof/>
              <w:webHidden/>
            </w:rPr>
            <w:fldChar w:fldCharType="begin"/>
          </w:r>
          <w:r w:rsidR="00784A8C">
            <w:rPr>
              <w:noProof/>
              <w:webHidden/>
            </w:rPr>
            <w:instrText xml:space="preserve"> PAGEREF _Toc207357654 \h </w:instrText>
          </w:r>
          <w:r w:rsidR="00784A8C">
            <w:rPr>
              <w:noProof/>
              <w:webHidden/>
            </w:rPr>
          </w:r>
          <w:r w:rsidR="00784A8C">
            <w:rPr>
              <w:noProof/>
              <w:webHidden/>
            </w:rPr>
            <w:fldChar w:fldCharType="separate"/>
          </w:r>
          <w:hyperlink w:history="1" w:anchor="_Toc207357654">
            <w:r w:rsidR="00666625">
              <w:rPr>
                <w:noProof/>
                <w:webHidden/>
              </w:rPr>
              <w:t>11</w:t>
            </w:r>
          </w:hyperlink>
          <w:r w:rsidR="00784A8C">
            <w:rPr>
              <w:noProof/>
              <w:webHidden/>
            </w:rPr>
            <w:fldChar w:fldCharType="end"/>
          </w:r>
        </w:p>
        <w:p w:rsidR="00784A8C" w:rsidRDefault="00561DC3" w14:paraId="2056F299" w14:textId="018E86B1">
          <w:pPr>
            <w:pStyle w:val="TOC3"/>
            <w:tabs>
              <w:tab w:val="right" w:leader="dot" w:pos="9350"/>
            </w:tabs>
            <w:rPr>
              <w:rFonts w:eastAsiaTheme="minorEastAsia"/>
              <w:noProof/>
              <w:sz w:val="22"/>
            </w:rPr>
          </w:pPr>
          <w:hyperlink w:history="1" w:anchor="_Toc207357655">
            <w:r w:rsidRPr="00FD20B5" w:rsidR="00784A8C">
              <w:rPr>
                <w:rStyle w:val="Hyperlink"/>
                <w:noProof/>
              </w:rPr>
              <w:t xml:space="preserve">Présentation de l'importation pour TO COUNT Workflow </w:t>
            </w:r>
          </w:hyperlink>
          <w:r w:rsidR="00784A8C">
            <w:rPr>
              <w:noProof/>
              <w:webHidden/>
            </w:rPr>
            <w:tab/>
          </w:r>
          <w:r w:rsidR="00784A8C">
            <w:rPr>
              <w:noProof/>
              <w:webHidden/>
            </w:rPr>
            <w:fldChar w:fldCharType="begin"/>
          </w:r>
          <w:r w:rsidR="00784A8C">
            <w:rPr>
              <w:noProof/>
              <w:webHidden/>
            </w:rPr>
            <w:instrText xml:space="preserve"> PAGEREF _Toc207357655 \h </w:instrText>
          </w:r>
          <w:r w:rsidR="00784A8C">
            <w:rPr>
              <w:noProof/>
              <w:webHidden/>
            </w:rPr>
          </w:r>
          <w:r w:rsidR="00784A8C">
            <w:rPr>
              <w:noProof/>
              <w:webHidden/>
            </w:rPr>
            <w:fldChar w:fldCharType="separate"/>
          </w:r>
          <w:hyperlink w:history="1" w:anchor="_Toc207357655">
            <w:r w:rsidR="00666625">
              <w:rPr>
                <w:noProof/>
                <w:webHidden/>
              </w:rPr>
              <w:t>11</w:t>
            </w:r>
          </w:hyperlink>
          <w:r w:rsidR="00784A8C">
            <w:rPr>
              <w:noProof/>
              <w:webHidden/>
            </w:rPr>
            <w:fldChar w:fldCharType="end"/>
          </w:r>
        </w:p>
        <w:p w:rsidR="00784A8C" w:rsidRDefault="00561DC3" w14:paraId="42A5A462" w14:textId="36651297">
          <w:pPr>
            <w:pStyle w:val="TOC3"/>
            <w:tabs>
              <w:tab w:val="right" w:leader="dot" w:pos="9350"/>
            </w:tabs>
            <w:rPr>
              <w:rFonts w:eastAsiaTheme="minorEastAsia"/>
              <w:noProof/>
              <w:sz w:val="22"/>
            </w:rPr>
          </w:pPr>
          <w:hyperlink w:history="1" w:anchor="_Toc207357656">
            <w:r w:rsidRPr="00FD20B5" w:rsidR="00784A8C">
              <w:rPr>
                <w:rStyle w:val="Hyperlink"/>
                <w:noProof/>
              </w:rPr>
              <w:t xml:space="preserve">Sélectionner les bacs de réception pendant le comptage cyclique </w:t>
            </w:r>
          </w:hyperlink>
          <w:r w:rsidR="00784A8C">
            <w:rPr>
              <w:noProof/>
              <w:webHidden/>
            </w:rPr>
            <w:tab/>
          </w:r>
          <w:r w:rsidR="00784A8C">
            <w:rPr>
              <w:noProof/>
              <w:webHidden/>
            </w:rPr>
            <w:fldChar w:fldCharType="begin"/>
          </w:r>
          <w:r w:rsidR="00784A8C">
            <w:rPr>
              <w:noProof/>
              <w:webHidden/>
            </w:rPr>
            <w:instrText xml:space="preserve"> PAGEREF _Toc207357656 \h </w:instrText>
          </w:r>
          <w:r w:rsidR="00784A8C">
            <w:rPr>
              <w:noProof/>
              <w:webHidden/>
            </w:rPr>
          </w:r>
          <w:r w:rsidR="00784A8C">
            <w:rPr>
              <w:noProof/>
              <w:webHidden/>
            </w:rPr>
            <w:fldChar w:fldCharType="separate"/>
          </w:r>
          <w:hyperlink w:history="1" w:anchor="_Toc207357656">
            <w:r w:rsidR="00666625">
              <w:rPr>
                <w:noProof/>
                <w:webHidden/>
              </w:rPr>
              <w:t>12</w:t>
            </w:r>
          </w:hyperlink>
          <w:r w:rsidR="00784A8C">
            <w:rPr>
              <w:noProof/>
              <w:webHidden/>
            </w:rPr>
            <w:fldChar w:fldCharType="end"/>
          </w:r>
        </w:p>
        <w:p w:rsidR="00784A8C" w:rsidRDefault="00561DC3" w14:paraId="67A02468" w14:textId="78BE4105">
          <w:pPr>
            <w:pStyle w:val="TOC3"/>
            <w:tabs>
              <w:tab w:val="right" w:leader="dot" w:pos="9350"/>
            </w:tabs>
            <w:rPr>
              <w:rFonts w:eastAsiaTheme="minorEastAsia"/>
              <w:noProof/>
              <w:sz w:val="22"/>
            </w:rPr>
          </w:pPr>
          <w:hyperlink w:history="1" w:anchor="_Toc207357657">
            <w:r w:rsidRPr="00FD20B5" w:rsidR="00784A8C">
              <w:rPr>
                <w:rStyle w:val="Hyperlink"/>
                <w:noProof/>
              </w:rPr>
              <w:t xml:space="preserve">OB enregistre les brouillons pour RESOLVE Workflow </w:t>
            </w:r>
          </w:hyperlink>
          <w:r w:rsidR="00784A8C">
            <w:rPr>
              <w:noProof/>
              <w:webHidden/>
            </w:rPr>
            <w:tab/>
          </w:r>
          <w:r w:rsidR="00784A8C">
            <w:rPr>
              <w:noProof/>
              <w:webHidden/>
            </w:rPr>
            <w:fldChar w:fldCharType="begin"/>
          </w:r>
          <w:r w:rsidR="00784A8C">
            <w:rPr>
              <w:noProof/>
              <w:webHidden/>
            </w:rPr>
            <w:instrText xml:space="preserve"> PAGEREF _Toc207357657 \h </w:instrText>
          </w:r>
          <w:r w:rsidR="00784A8C">
            <w:rPr>
              <w:noProof/>
              <w:webHidden/>
            </w:rPr>
          </w:r>
          <w:r w:rsidR="00784A8C">
            <w:rPr>
              <w:noProof/>
              <w:webHidden/>
            </w:rPr>
            <w:fldChar w:fldCharType="separate"/>
          </w:r>
          <w:hyperlink w:history="1" w:anchor="_Toc207357657">
            <w:r w:rsidR="00666625">
              <w:rPr>
                <w:noProof/>
                <w:webHidden/>
              </w:rPr>
              <w:t>12</w:t>
            </w:r>
          </w:hyperlink>
          <w:r w:rsidR="00784A8C">
            <w:rPr>
              <w:noProof/>
              <w:webHidden/>
            </w:rPr>
            <w:fldChar w:fldCharType="end"/>
          </w:r>
        </w:p>
        <w:p w:rsidR="00784A8C" w:rsidRDefault="00561DC3" w14:paraId="05A19DB3" w14:textId="3A9449E1">
          <w:pPr>
            <w:pStyle w:val="TOC3"/>
            <w:tabs>
              <w:tab w:val="right" w:leader="dot" w:pos="9350"/>
            </w:tabs>
            <w:rPr>
              <w:rFonts w:eastAsiaTheme="minorEastAsia"/>
              <w:noProof/>
              <w:sz w:val="22"/>
            </w:rPr>
          </w:pPr>
          <w:hyperlink w:history="1" w:anchor="_Toc207357658">
            <w:r w:rsidRPr="00FD20B5" w:rsidR="00784A8C">
              <w:rPr>
                <w:rStyle w:val="Hyperlink"/>
                <w:noProof/>
              </w:rPr>
              <w:t xml:space="preserve">Messagerie améliorée après le comptage de cycles </w:t>
            </w:r>
          </w:hyperlink>
          <w:r w:rsidR="00784A8C">
            <w:rPr>
              <w:noProof/>
              <w:webHidden/>
            </w:rPr>
            <w:tab/>
          </w:r>
          <w:r w:rsidR="00784A8C">
            <w:rPr>
              <w:noProof/>
              <w:webHidden/>
            </w:rPr>
            <w:fldChar w:fldCharType="begin"/>
          </w:r>
          <w:r w:rsidR="00784A8C">
            <w:rPr>
              <w:noProof/>
              <w:webHidden/>
            </w:rPr>
            <w:instrText xml:space="preserve"> PAGEREF _Toc207357658 \h </w:instrText>
          </w:r>
          <w:r w:rsidR="00784A8C">
            <w:rPr>
              <w:noProof/>
              <w:webHidden/>
            </w:rPr>
          </w:r>
          <w:r w:rsidR="00784A8C">
            <w:rPr>
              <w:noProof/>
              <w:webHidden/>
            </w:rPr>
            <w:fldChar w:fldCharType="separate"/>
          </w:r>
          <w:hyperlink w:history="1" w:anchor="_Toc207357658">
            <w:r w:rsidR="00666625">
              <w:rPr>
                <w:noProof/>
                <w:webHidden/>
              </w:rPr>
              <w:t>12</w:t>
            </w:r>
          </w:hyperlink>
          <w:r w:rsidR="00784A8C">
            <w:rPr>
              <w:noProof/>
              <w:webHidden/>
            </w:rPr>
            <w:fldChar w:fldCharType="end"/>
          </w:r>
        </w:p>
        <w:p w:rsidR="00784A8C" w:rsidRDefault="00561DC3" w14:paraId="242B8F6E" w14:textId="5295AC91">
          <w:pPr>
            <w:pStyle w:val="TOC1"/>
            <w:tabs>
              <w:tab w:val="right" w:leader="dot" w:pos="9350"/>
            </w:tabs>
            <w:rPr>
              <w:rFonts w:eastAsiaTheme="minorEastAsia"/>
              <w:noProof/>
              <w:sz w:val="22"/>
            </w:rPr>
          </w:pPr>
          <w:hyperlink w:history="1" w:anchor="_Toc207357659">
            <w:r w:rsidRPr="00FD20B5" w:rsidR="00784A8C">
              <w:rPr>
                <w:rStyle w:val="Hyperlink"/>
                <w:noProof/>
              </w:rPr>
              <w:t xml:space="preserve">AMÉLIORATIONS </w:t>
            </w:r>
          </w:hyperlink>
          <w:r w:rsidR="00784A8C">
            <w:rPr>
              <w:noProof/>
              <w:webHidden/>
            </w:rPr>
            <w:tab/>
          </w:r>
          <w:r w:rsidR="00784A8C">
            <w:rPr>
              <w:noProof/>
              <w:webHidden/>
            </w:rPr>
            <w:fldChar w:fldCharType="begin"/>
          </w:r>
          <w:r w:rsidR="00784A8C">
            <w:rPr>
              <w:noProof/>
              <w:webHidden/>
            </w:rPr>
            <w:instrText xml:space="preserve"> PAGEREF _Toc207357659 \h </w:instrText>
          </w:r>
          <w:r w:rsidR="00784A8C">
            <w:rPr>
              <w:noProof/>
              <w:webHidden/>
            </w:rPr>
          </w:r>
          <w:r w:rsidR="00784A8C">
            <w:rPr>
              <w:noProof/>
              <w:webHidden/>
            </w:rPr>
            <w:fldChar w:fldCharType="separate"/>
          </w:r>
          <w:hyperlink w:history="1" w:anchor="_Toc207357659">
            <w:r w:rsidR="00666625">
              <w:rPr>
                <w:noProof/>
                <w:webHidden/>
              </w:rPr>
              <w:t>13</w:t>
            </w:r>
          </w:hyperlink>
          <w:r w:rsidR="00784A8C">
            <w:rPr>
              <w:noProof/>
              <w:webHidden/>
            </w:rPr>
            <w:fldChar w:fldCharType="end"/>
          </w:r>
        </w:p>
        <w:p w:rsidR="00784A8C" w:rsidRDefault="00561DC3" w14:paraId="362A39AA" w14:textId="475BA4C4">
          <w:pPr>
            <w:pStyle w:val="TOC2"/>
            <w:tabs>
              <w:tab w:val="right" w:leader="dot" w:pos="9350"/>
            </w:tabs>
            <w:rPr>
              <w:rFonts w:eastAsiaTheme="minorEastAsia"/>
              <w:noProof/>
              <w:sz w:val="22"/>
            </w:rPr>
          </w:pPr>
          <w:hyperlink w:history="1" w:anchor="_Toc207357660">
            <w:r w:rsidRPr="00FD20B5" w:rsidR="00784A8C">
              <w:rPr>
                <w:rStyle w:val="Hyperlink"/>
                <w:noProof/>
              </w:rPr>
              <w:t xml:space="preserve">Exporter les résultats filtrés sur la page </w:t>
            </w:r>
          </w:hyperlink>
          <w:r w:rsidR="00784A8C">
            <w:rPr>
              <w:noProof/>
              <w:webHidden/>
            </w:rPr>
            <w:tab/>
          </w:r>
          <w:r w:rsidR="00784A8C">
            <w:rPr>
              <w:noProof/>
              <w:webHidden/>
            </w:rPr>
            <w:fldChar w:fldCharType="begin"/>
          </w:r>
          <w:r w:rsidR="00784A8C">
            <w:rPr>
              <w:noProof/>
              <w:webHidden/>
            </w:rPr>
            <w:instrText xml:space="preserve"> PAGEREF _Toc207357660 \h </w:instrText>
          </w:r>
          <w:r w:rsidR="00784A8C">
            <w:rPr>
              <w:noProof/>
              <w:webHidden/>
            </w:rPr>
          </w:r>
          <w:r w:rsidR="00784A8C">
            <w:rPr>
              <w:noProof/>
              <w:webHidden/>
            </w:rPr>
            <w:fldChar w:fldCharType="separate"/>
          </w:r>
          <w:hyperlink w:history="1" w:anchor="_Toc207357660">
            <w:r w:rsidR="00666625">
              <w:rPr>
                <w:noProof/>
                <w:webHidden/>
              </w:rPr>
              <w:t>13 de la liste des sources de produits</w:t>
            </w:r>
          </w:hyperlink>
          <w:r w:rsidR="00784A8C">
            <w:rPr>
              <w:noProof/>
              <w:webHidden/>
            </w:rPr>
            <w:fldChar w:fldCharType="end"/>
          </w:r>
        </w:p>
        <w:p w:rsidR="00784A8C" w:rsidRDefault="00561DC3" w14:paraId="0CF30C46" w14:textId="4B07F7F7">
          <w:pPr>
            <w:pStyle w:val="TOC2"/>
            <w:tabs>
              <w:tab w:val="right" w:leader="dot" w:pos="9350"/>
            </w:tabs>
            <w:rPr>
              <w:rFonts w:eastAsiaTheme="minorEastAsia"/>
              <w:noProof/>
              <w:sz w:val="22"/>
            </w:rPr>
          </w:pPr>
          <w:hyperlink w:history="1" w:anchor="_Toc207357661">
            <w:r w:rsidRPr="00FD20B5" w:rsidR="00784A8C">
              <w:rPr>
                <w:rStyle w:val="Hyperlink"/>
                <w:noProof/>
              </w:rPr>
              <w:t xml:space="preserve">Télécharger la liste de sélection triée par bacs </w:t>
            </w:r>
          </w:hyperlink>
          <w:r w:rsidR="00784A8C">
            <w:rPr>
              <w:noProof/>
              <w:webHidden/>
            </w:rPr>
            <w:tab/>
          </w:r>
          <w:r w:rsidR="00784A8C">
            <w:rPr>
              <w:noProof/>
              <w:webHidden/>
            </w:rPr>
            <w:fldChar w:fldCharType="begin"/>
          </w:r>
          <w:r w:rsidR="00784A8C">
            <w:rPr>
              <w:noProof/>
              <w:webHidden/>
            </w:rPr>
            <w:instrText xml:space="preserve"> PAGEREF _Toc207357661 \h </w:instrText>
          </w:r>
          <w:r w:rsidR="00784A8C">
            <w:rPr>
              <w:noProof/>
              <w:webHidden/>
            </w:rPr>
          </w:r>
          <w:r w:rsidR="00784A8C">
            <w:rPr>
              <w:noProof/>
              <w:webHidden/>
            </w:rPr>
            <w:fldChar w:fldCharType="separate"/>
          </w:r>
          <w:hyperlink w:history="1" w:anchor="_Toc207357661">
            <w:r w:rsidR="00666625">
              <w:rPr>
                <w:noProof/>
                <w:webHidden/>
              </w:rPr>
              <w:t>13</w:t>
            </w:r>
          </w:hyperlink>
          <w:r w:rsidR="00784A8C">
            <w:rPr>
              <w:noProof/>
              <w:webHidden/>
            </w:rPr>
            <w:fldChar w:fldCharType="end"/>
          </w:r>
        </w:p>
        <w:p w:rsidR="00784A8C" w:rsidRDefault="00561DC3" w14:paraId="632A80EA" w14:textId="795EAB8A">
          <w:pPr>
            <w:pStyle w:val="TOC2"/>
            <w:tabs>
              <w:tab w:val="right" w:leader="dot" w:pos="9350"/>
            </w:tabs>
            <w:rPr>
              <w:rFonts w:eastAsiaTheme="minorEastAsia"/>
              <w:noProof/>
              <w:sz w:val="22"/>
            </w:rPr>
          </w:pPr>
          <w:hyperlink w:history="1" w:anchor="_Toc207357662">
            <w:r w:rsidRPr="00FD20B5" w:rsidR="00784A8C">
              <w:rPr>
                <w:rStyle w:val="Hyperlink"/>
                <w:noProof/>
              </w:rPr>
              <w:t xml:space="preserve">Note de livraison : Affichage amélioré des niveaux de conditionnement séparés </w:t>
            </w:r>
          </w:hyperlink>
          <w:r w:rsidR="00784A8C">
            <w:rPr>
              <w:noProof/>
              <w:webHidden/>
            </w:rPr>
            <w:tab/>
          </w:r>
          <w:r w:rsidR="00784A8C">
            <w:rPr>
              <w:noProof/>
              <w:webHidden/>
            </w:rPr>
            <w:fldChar w:fldCharType="begin"/>
          </w:r>
          <w:r w:rsidR="00784A8C">
            <w:rPr>
              <w:noProof/>
              <w:webHidden/>
            </w:rPr>
            <w:instrText xml:space="preserve"> PAGEREF _Toc207357662 \h </w:instrText>
          </w:r>
          <w:r w:rsidR="00784A8C">
            <w:rPr>
              <w:noProof/>
              <w:webHidden/>
            </w:rPr>
          </w:r>
          <w:r w:rsidR="00784A8C">
            <w:rPr>
              <w:noProof/>
              <w:webHidden/>
            </w:rPr>
            <w:fldChar w:fldCharType="separate"/>
          </w:r>
          <w:hyperlink w:history="1" w:anchor="_Toc207357662">
            <w:r w:rsidR="00666625">
              <w:rPr>
                <w:noProof/>
                <w:webHidden/>
              </w:rPr>
              <w:t>14</w:t>
            </w:r>
          </w:hyperlink>
          <w:r w:rsidR="00784A8C">
            <w:rPr>
              <w:noProof/>
              <w:webHidden/>
            </w:rPr>
            <w:fldChar w:fldCharType="end"/>
          </w:r>
        </w:p>
        <w:p w:rsidR="00784A8C" w:rsidRDefault="00561DC3" w14:paraId="70A086A5" w14:textId="3B4FC778">
          <w:pPr>
            <w:pStyle w:val="TOC2"/>
            <w:tabs>
              <w:tab w:val="right" w:leader="dot" w:pos="9350"/>
            </w:tabs>
            <w:rPr>
              <w:rFonts w:eastAsiaTheme="minorEastAsia"/>
              <w:noProof/>
              <w:sz w:val="22"/>
            </w:rPr>
          </w:pPr>
          <w:hyperlink w:history="1" w:anchor="_Toc207357663">
            <w:r w:rsidRPr="00FD20B5" w:rsidR="00784A8C">
              <w:rPr>
                <w:rStyle w:val="Hyperlink"/>
                <w:noProof/>
              </w:rPr>
              <w:t xml:space="preserve">Note de réception des marchandises : Noms des produits emballés </w:t>
            </w:r>
          </w:hyperlink>
          <w:r w:rsidR="00784A8C">
            <w:rPr>
              <w:noProof/>
              <w:webHidden/>
            </w:rPr>
            <w:tab/>
          </w:r>
          <w:r w:rsidR="00784A8C">
            <w:rPr>
              <w:noProof/>
              <w:webHidden/>
            </w:rPr>
            <w:fldChar w:fldCharType="begin"/>
          </w:r>
          <w:r w:rsidR="00784A8C">
            <w:rPr>
              <w:noProof/>
              <w:webHidden/>
            </w:rPr>
            <w:instrText xml:space="preserve"> PAGEREF _Toc207357663 \h </w:instrText>
          </w:r>
          <w:r w:rsidR="00784A8C">
            <w:rPr>
              <w:noProof/>
              <w:webHidden/>
            </w:rPr>
          </w:r>
          <w:r w:rsidR="00784A8C">
            <w:rPr>
              <w:noProof/>
              <w:webHidden/>
            </w:rPr>
            <w:fldChar w:fldCharType="separate"/>
          </w:r>
          <w:hyperlink w:history="1" w:anchor="_Toc207357663">
            <w:r w:rsidR="00666625">
              <w:rPr>
                <w:noProof/>
                <w:webHidden/>
              </w:rPr>
              <w:t>14</w:t>
            </w:r>
          </w:hyperlink>
          <w:r w:rsidR="00784A8C">
            <w:rPr>
              <w:noProof/>
              <w:webHidden/>
            </w:rPr>
            <w:fldChar w:fldCharType="end"/>
          </w:r>
        </w:p>
        <w:p w:rsidR="00784A8C" w:rsidRDefault="00561DC3" w14:paraId="595A4886" w14:textId="78C23C66">
          <w:pPr>
            <w:pStyle w:val="TOC2"/>
            <w:tabs>
              <w:tab w:val="right" w:leader="dot" w:pos="9350"/>
            </w:tabs>
            <w:rPr>
              <w:rFonts w:eastAsiaTheme="minorEastAsia"/>
              <w:noProof/>
              <w:sz w:val="22"/>
            </w:rPr>
          </w:pPr>
          <w:hyperlink w:history="1" w:anchor="_Toc207357664">
            <w:r w:rsidRPr="00FD20B5" w:rsidR="00784A8C">
              <w:rPr>
                <w:rStyle w:val="Hyperlink"/>
                <w:noProof/>
              </w:rPr>
              <w:t xml:space="preserve">Numéros de page sur la liste de prélèvement et le bon de livraison </w:t>
            </w:r>
          </w:hyperlink>
          <w:r w:rsidR="00784A8C">
            <w:rPr>
              <w:noProof/>
              <w:webHidden/>
            </w:rPr>
            <w:tab/>
          </w:r>
          <w:r w:rsidR="00784A8C">
            <w:rPr>
              <w:noProof/>
              <w:webHidden/>
            </w:rPr>
            <w:fldChar w:fldCharType="begin"/>
          </w:r>
          <w:r w:rsidR="00784A8C">
            <w:rPr>
              <w:noProof/>
              <w:webHidden/>
            </w:rPr>
            <w:instrText xml:space="preserve"> PAGEREF _Toc207357664 \h </w:instrText>
          </w:r>
          <w:r w:rsidR="00784A8C">
            <w:rPr>
              <w:noProof/>
              <w:webHidden/>
            </w:rPr>
          </w:r>
          <w:r w:rsidR="00784A8C">
            <w:rPr>
              <w:noProof/>
              <w:webHidden/>
            </w:rPr>
            <w:fldChar w:fldCharType="separate"/>
          </w:r>
          <w:hyperlink w:history="1" w:anchor="_Toc207357664">
            <w:r w:rsidR="00666625">
              <w:rPr>
                <w:noProof/>
                <w:webHidden/>
              </w:rPr>
              <w:t>15</w:t>
            </w:r>
          </w:hyperlink>
          <w:r w:rsidR="00784A8C">
            <w:rPr>
              <w:noProof/>
              <w:webHidden/>
            </w:rPr>
            <w:fldChar w:fldCharType="end"/>
          </w:r>
        </w:p>
        <w:p w:rsidR="00784A8C" w:rsidRDefault="00561DC3" w14:paraId="779D1BC3" w14:textId="21D81889">
          <w:pPr>
            <w:pStyle w:val="TOC2"/>
            <w:tabs>
              <w:tab w:val="right" w:leader="dot" w:pos="9350"/>
            </w:tabs>
            <w:rPr>
              <w:rFonts w:eastAsiaTheme="minorEastAsia"/>
              <w:noProof/>
              <w:sz w:val="22"/>
            </w:rPr>
          </w:pPr>
          <w:hyperlink w:history="1" w:anchor="_Toc207357665">
            <w:r w:rsidRPr="00FD20B5" w:rsidR="00784A8C">
              <w:rPr>
                <w:rStyle w:val="Hyperlink"/>
                <w:noProof/>
              </w:rPr>
              <w:t xml:space="preserve">Le code fournisseur est désormais visible dans la page d'affichage des expéditions </w:t>
            </w:r>
          </w:hyperlink>
          <w:r w:rsidR="00784A8C">
            <w:rPr>
              <w:noProof/>
              <w:webHidden/>
            </w:rPr>
            <w:tab/>
          </w:r>
          <w:r w:rsidR="00784A8C">
            <w:rPr>
              <w:noProof/>
              <w:webHidden/>
            </w:rPr>
            <w:fldChar w:fldCharType="begin"/>
          </w:r>
          <w:r w:rsidR="00784A8C">
            <w:rPr>
              <w:noProof/>
              <w:webHidden/>
            </w:rPr>
            <w:instrText xml:space="preserve"> PAGEREF _Toc207357665 \h </w:instrText>
          </w:r>
          <w:r w:rsidR="00784A8C">
            <w:rPr>
              <w:noProof/>
              <w:webHidden/>
            </w:rPr>
          </w:r>
          <w:r w:rsidR="00784A8C">
            <w:rPr>
              <w:noProof/>
              <w:webHidden/>
            </w:rPr>
            <w:fldChar w:fldCharType="separate"/>
          </w:r>
          <w:hyperlink w:history="1" w:anchor="_Toc207357665">
            <w:r w:rsidR="00666625">
              <w:rPr>
                <w:noProof/>
                <w:webHidden/>
              </w:rPr>
              <w:t>15</w:t>
            </w:r>
          </w:hyperlink>
          <w:r w:rsidR="00784A8C">
            <w:rPr>
              <w:noProof/>
              <w:webHidden/>
            </w:rPr>
            <w:fldChar w:fldCharType="end"/>
          </w:r>
        </w:p>
        <w:p w:rsidR="00784A8C" w:rsidRDefault="00561DC3" w14:paraId="613EF4EF" w14:textId="6D2D3CF0">
          <w:pPr>
            <w:pStyle w:val="TOC1"/>
            <w:tabs>
              <w:tab w:val="right" w:leader="dot" w:pos="9350"/>
            </w:tabs>
            <w:rPr>
              <w:rFonts w:eastAsiaTheme="minorEastAsia"/>
              <w:noProof/>
              <w:sz w:val="22"/>
            </w:rPr>
          </w:pPr>
          <w:hyperlink w:history="1" w:anchor="_Toc207357666">
            <w:r w:rsidRPr="00FD20B5" w:rsidR="00784A8C">
              <w:rPr>
                <w:rStyle w:val="Hyperlink"/>
                <w:noProof/>
              </w:rPr>
              <w:t xml:space="preserve">Corrections de bugs </w:t>
            </w:r>
          </w:hyperlink>
          <w:r w:rsidR="00784A8C">
            <w:rPr>
              <w:noProof/>
              <w:webHidden/>
            </w:rPr>
            <w:tab/>
          </w:r>
          <w:r w:rsidR="00784A8C">
            <w:rPr>
              <w:noProof/>
              <w:webHidden/>
            </w:rPr>
            <w:fldChar w:fldCharType="begin"/>
          </w:r>
          <w:r w:rsidR="00784A8C">
            <w:rPr>
              <w:noProof/>
              <w:webHidden/>
            </w:rPr>
            <w:instrText xml:space="preserve"> PAGEREF _Toc207357666 \h </w:instrText>
          </w:r>
          <w:r w:rsidR="00784A8C">
            <w:rPr>
              <w:noProof/>
              <w:webHidden/>
            </w:rPr>
          </w:r>
          <w:r w:rsidR="00784A8C">
            <w:rPr>
              <w:noProof/>
              <w:webHidden/>
            </w:rPr>
            <w:fldChar w:fldCharType="separate"/>
          </w:r>
          <w:hyperlink w:history="1" w:anchor="_Toc207357666">
            <w:r w:rsidR="00666625">
              <w:rPr>
                <w:noProof/>
                <w:webHidden/>
              </w:rPr>
              <w:t>17</w:t>
            </w:r>
          </w:hyperlink>
          <w:r w:rsidR="00784A8C">
            <w:rPr>
              <w:noProof/>
              <w:webHidden/>
            </w:rPr>
            <w:fldChar w:fldCharType="end"/>
          </w:r>
        </w:p>
        <w:p w:rsidR="00784A8C" w:rsidRDefault="00561DC3" w14:paraId="474760A5" w14:textId="21F829BC">
          <w:pPr>
            <w:pStyle w:val="TOC3"/>
            <w:tabs>
              <w:tab w:val="right" w:leader="dot" w:pos="9350"/>
            </w:tabs>
            <w:rPr>
              <w:rFonts w:eastAsiaTheme="minorEastAsia"/>
              <w:noProof/>
              <w:sz w:val="22"/>
            </w:rPr>
          </w:pPr>
          <w:hyperlink w:history="1" w:anchor="_Toc207357667">
            <w:r w:rsidRPr="00FD20B5" w:rsidR="00784A8C">
              <w:rPr>
                <w:rStyle w:val="Hyperlink"/>
                <w:noProof/>
              </w:rPr>
              <w:t xml:space="preserve">Importation de produits entraînant une duplication de catégories et d'étiquettes </w:t>
            </w:r>
          </w:hyperlink>
          <w:r w:rsidR="00784A8C">
            <w:rPr>
              <w:noProof/>
              <w:webHidden/>
            </w:rPr>
            <w:tab/>
          </w:r>
          <w:r w:rsidR="00784A8C">
            <w:rPr>
              <w:noProof/>
              <w:webHidden/>
            </w:rPr>
            <w:fldChar w:fldCharType="begin"/>
          </w:r>
          <w:r w:rsidR="00784A8C">
            <w:rPr>
              <w:noProof/>
              <w:webHidden/>
            </w:rPr>
            <w:instrText xml:space="preserve"> PAGEREF _Toc207357667 \h </w:instrText>
          </w:r>
          <w:r w:rsidR="00784A8C">
            <w:rPr>
              <w:noProof/>
              <w:webHidden/>
            </w:rPr>
          </w:r>
          <w:r w:rsidR="00784A8C">
            <w:rPr>
              <w:noProof/>
              <w:webHidden/>
            </w:rPr>
            <w:fldChar w:fldCharType="separate"/>
          </w:r>
          <w:hyperlink w:history="1" w:anchor="_Toc207357667">
            <w:r w:rsidR="00666625">
              <w:rPr>
                <w:noProof/>
                <w:webHidden/>
              </w:rPr>
              <w:t>17</w:t>
            </w:r>
          </w:hyperlink>
          <w:r w:rsidR="00784A8C">
            <w:rPr>
              <w:noProof/>
              <w:webHidden/>
            </w:rPr>
            <w:fldChar w:fldCharType="end"/>
          </w:r>
        </w:p>
        <w:p w:rsidR="00784A8C" w:rsidRDefault="00561DC3" w14:paraId="18538265" w14:textId="03742F05">
          <w:pPr>
            <w:pStyle w:val="TOC3"/>
            <w:tabs>
              <w:tab w:val="right" w:leader="dot" w:pos="9350"/>
            </w:tabs>
            <w:rPr>
              <w:rFonts w:eastAsiaTheme="minorEastAsia"/>
              <w:noProof/>
              <w:sz w:val="22"/>
            </w:rPr>
          </w:pPr>
          <w:hyperlink w:history="1" w:anchor="_Toc207357668">
            <w:r w:rsidRPr="00FD20B5" w:rsidR="00784A8C">
              <w:rPr>
                <w:rStyle w:val="Hyperlink"/>
                <w:noProof/>
              </w:rPr>
              <w:t xml:space="preserve">URL de la page de liste des associations de produits </w:t>
            </w:r>
          </w:hyperlink>
          <w:r w:rsidR="00784A8C">
            <w:rPr>
              <w:noProof/>
              <w:webHidden/>
            </w:rPr>
            <w:tab/>
          </w:r>
          <w:r w:rsidR="00784A8C">
            <w:rPr>
              <w:noProof/>
              <w:webHidden/>
            </w:rPr>
            <w:fldChar w:fldCharType="begin"/>
          </w:r>
          <w:r w:rsidR="00784A8C">
            <w:rPr>
              <w:noProof/>
              <w:webHidden/>
            </w:rPr>
            <w:instrText xml:space="preserve"> PAGEREF _Toc207357668 \h </w:instrText>
          </w:r>
          <w:r w:rsidR="00784A8C">
            <w:rPr>
              <w:noProof/>
              <w:webHidden/>
            </w:rPr>
          </w:r>
          <w:r w:rsidR="00784A8C">
            <w:rPr>
              <w:noProof/>
              <w:webHidden/>
            </w:rPr>
            <w:fldChar w:fldCharType="separate"/>
          </w:r>
          <w:hyperlink w:history="1" w:anchor="_Toc207357668">
            <w:r w:rsidR="00666625">
              <w:rPr>
                <w:noProof/>
                <w:webHidden/>
              </w:rPr>
              <w:t>17</w:t>
            </w:r>
          </w:hyperlink>
          <w:r w:rsidR="00784A8C">
            <w:rPr>
              <w:noProof/>
              <w:webHidden/>
            </w:rPr>
            <w:fldChar w:fldCharType="end"/>
          </w:r>
        </w:p>
        <w:p w:rsidRPr="008279E5" w:rsidR="00987403" w:rsidP="008279E5" w:rsidRDefault="13BC8465" w14:paraId="1B5E29FB" w14:textId="241AC91A">
          <w:pPr>
            <w:pStyle w:val="TOC3"/>
            <w:tabs>
              <w:tab w:val="right" w:leader="dot" w:pos="9345"/>
            </w:tabs>
            <w:ind w:left="0"/>
            <w:rPr>
              <w:color w:val="0563C1" w:themeColor="hyperlink"/>
              <w:u w:val="single"/>
            </w:rPr>
          </w:pPr>
          <w:r>
            <w:fldChar w:fldCharType="end"/>
          </w:r>
        </w:p>
      </w:sdtContent>
    </w:sdt>
    <w:bookmarkEnd w:displacedByCustomXml="prev" w:id="3"/>
    <w:p w:rsidR="004575AD" w:rsidP="13BC8465" w:rsidRDefault="004575AD" w14:paraId="43E90F8C" w14:textId="77777777">
      <w:pPr>
        <w:pStyle w:val="Heading1"/>
        <w:jc w:val="both"/>
      </w:pPr>
    </w:p>
    <w:p w:rsidR="001F468A" w:rsidP="13BC8465" w:rsidRDefault="001F468A" w14:paraId="79D4F108" w14:textId="4ECA59EF">
      <w:pPr>
        <w:pStyle w:val="Heading1"/>
        <w:jc w:val="both"/>
      </w:pPr>
      <w:bookmarkStart w:name="_Toc207357636" w:id="4"/>
      <w:r>
        <w:t>DEMANDER UNE FUSION DE PRODUITS</w:t>
      </w:r>
      <w:bookmarkEnd w:id="4"/>
    </w:p>
    <w:p w:rsidR="001F468A" w:rsidP="007C2D0C" w:rsidRDefault="001F468A" w14:paraId="16BF60C4" w14:textId="0C9C789E">
      <w:pPr>
        <w:jc w:val="both"/>
      </w:pPr>
      <w:r w:rsidRPr="521FCCDF">
        <w:rPr>
          <w:lang w:val="fr-FR"/>
        </w:rPr>
        <w:t>La fonctionnalité de fusion de produits s'est avérée essentielle pour la gestion des produits dans OpenBoxes. Nous facilitons la suggestion de fusion de produits pour les utilisateurs !</w:t>
      </w:r>
    </w:p>
    <w:p w:rsidR="008279E5" w:rsidP="007C2D0C" w:rsidRDefault="001F468A" w14:paraId="08DA69FE" w14:textId="12B59B16">
      <w:pPr>
        <w:jc w:val="both"/>
      </w:pPr>
      <w:r w:rsidRPr="521FCCDF">
        <w:rPr>
          <w:lang w:val="fr-FR"/>
        </w:rPr>
        <w:t xml:space="preserve">Utilisez le service d'assistance IOPs </w:t>
      </w:r>
      <w:hyperlink r:id="rId12">
        <w:r w:rsidRPr="521FCCDF">
          <w:rPr>
            <w:rStyle w:val="Hyperlink"/>
            <w:lang w:val="fr-FR"/>
          </w:rPr>
          <w:t>pour demander une fusion</w:t>
        </w:r>
      </w:hyperlink>
      <w:r w:rsidRPr="521FCCDF">
        <w:rPr>
          <w:b/>
          <w:bCs/>
          <w:lang w:val="fr-FR"/>
        </w:rPr>
        <w:t xml:space="preserve"> </w:t>
      </w:r>
      <w:r w:rsidRPr="521FCCDF">
        <w:rPr>
          <w:lang w:val="fr-FR"/>
        </w:rPr>
        <w:t>Utilisez un ticket pour signaler tout produit en double que vous rencontrez. Nos efforts communs seront essentiels à la maintenance de notre vaste base de données de produits.</w:t>
      </w:r>
    </w:p>
    <w:p w:rsidRPr="001F468A" w:rsidR="001F468A" w:rsidP="001F468A" w:rsidRDefault="001F468A" w14:paraId="69CC0828" w14:textId="2076CE70">
      <w:r>
        <w:t xml:space="preserve">  </w:t>
      </w:r>
    </w:p>
    <w:p w:rsidR="00C97C40" w:rsidP="13BC8465" w:rsidRDefault="001956B1" w14:paraId="1A8A6A2A" w14:textId="281CF44D">
      <w:pPr>
        <w:pStyle w:val="Heading1"/>
        <w:jc w:val="both"/>
      </w:pPr>
      <w:bookmarkStart w:name="_Toc207357637" w:id="5"/>
      <w:r>
        <w:t>NOUVEAUX RAPPORTS DE CHANGEMENTS D'INVENTAIRE !</w:t>
      </w:r>
      <w:bookmarkEnd w:id="5"/>
      <w:r>
        <w:t xml:space="preserve"> </w:t>
      </w:r>
    </w:p>
    <w:p w:rsidR="00C97C40" w:rsidP="007C2D0C" w:rsidRDefault="004C3340" w14:paraId="29851F19" w14:textId="3A120995">
      <w:pPr>
        <w:jc w:val="both"/>
      </w:pPr>
      <w:r>
        <w:t>Nous sommes ravis de publier de nouveaux rapports sur les résultats des inventaires tournants et les variations de stock, attendus depuis longtemps ! Grâce à ces nouveaux rapports, les utilisateurs peuvent consulter les inventaires tournants effectués pour tous les produits et leurs résultats en un seul endroit. De plus, le nouveau rapport sur les transactions de stock prend en compte les mises à jour de stock effectuées non seulement via l'inventaire tournant, mais aussi via d'autres fonctionnalités de gestion des stocks !</w:t>
      </w:r>
    </w:p>
    <w:p w:rsidR="004C3340" w:rsidP="007C2D0C" w:rsidRDefault="004C3340" w14:paraId="0CAAAB67" w14:textId="4D8D94F1">
      <w:pPr>
        <w:jc w:val="both"/>
      </w:pPr>
      <w:r>
        <w:t xml:space="preserve">Accédez à </w:t>
      </w:r>
      <w:r w:rsidRPr="004C3340">
        <w:rPr>
          <w:b/>
        </w:rPr>
        <w:t xml:space="preserve">Inventaire </w:t>
      </w:r>
      <w:r>
        <w:t xml:space="preserve">&gt; </w:t>
      </w:r>
      <w:r w:rsidRPr="004C3340">
        <w:rPr>
          <w:b/>
        </w:rPr>
        <w:t xml:space="preserve">Rapports </w:t>
      </w:r>
      <w:r>
        <w:t>(sous Inventaire cyclique).</w:t>
      </w:r>
    </w:p>
    <w:p w:rsidR="004C3340" w:rsidP="004C3340" w:rsidRDefault="004C3340" w14:paraId="1FD23DEF" w14:textId="77777777">
      <w:pPr>
        <w:keepNext/>
        <w:jc w:val="center"/>
      </w:pPr>
      <w:r w:rsidRPr="004C3340">
        <w:rPr>
          <w:noProof/>
          <w:lang w:val="en-US"/>
        </w:rPr>
        <w:drawing>
          <wp:inline distT="0" distB="0" distL="0" distR="0" wp14:anchorId="6CBD1459" wp14:editId="5844FADA">
            <wp:extent cx="4183380" cy="1503511"/>
            <wp:effectExtent l="0" t="0" r="762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4900" cy="1511245"/>
                    </a:xfrm>
                    <a:prstGeom prst="rect">
                      <a:avLst/>
                    </a:prstGeom>
                  </pic:spPr>
                </pic:pic>
              </a:graphicData>
            </a:graphic>
          </wp:inline>
        </w:drawing>
      </w:r>
    </w:p>
    <w:p w:rsidR="004C3340" w:rsidP="004C3340" w:rsidRDefault="004C3340" w14:paraId="5F9EC8B9" w14:textId="01F1F35E">
      <w:pPr>
        <w:pStyle w:val="Caption"/>
        <w:jc w:val="center"/>
      </w:pPr>
      <w:r>
        <w:t>Option de rapport dans le menu Inventaire</w:t>
      </w:r>
    </w:p>
    <w:p w:rsidR="004C3340" w:rsidP="007C2D0C" w:rsidRDefault="0005229A" w14:paraId="4B97C8F4" w14:textId="4633C10E">
      <w:pPr>
        <w:jc w:val="both"/>
      </w:pPr>
      <w:r>
        <w:t xml:space="preserve">Voir ci-dessous pour plus d'informations sur le rapport. Voici le lien vers notre base de connaissances pour ces rapports : </w:t>
      </w:r>
      <w:hyperlink w:history="1" r:id="rId14">
        <w:r w:rsidRPr="00987403" w:rsidR="00987403">
          <w:rPr>
            <w:rStyle w:val="Hyperlink"/>
          </w:rPr>
          <w:t xml:space="preserve">Rapports </w:t>
        </w:r>
      </w:hyperlink>
      <w:hyperlink w:history="1" r:id="rId15">
        <w:r w:rsidRPr="00987403" w:rsidR="00987403">
          <w:rPr>
            <w:rStyle w:val="Hyperlink"/>
          </w:rPr>
          <w:t xml:space="preserve">sur les variations de </w:t>
        </w:r>
      </w:hyperlink>
      <w:bookmarkStart w:name="_GoBack" w:id="6"/>
      <w:bookmarkEnd w:id="6"/>
      <w:r w:rsidR="00561DC3">
        <w:fldChar w:fldCharType="begin"/>
      </w:r>
      <w:r w:rsidR="00561DC3">
        <w:instrText xml:space="preserve"> HYPERLINK "https://help.openboxes.com/article/488-inventory-changes-report" </w:instrText>
      </w:r>
      <w:r w:rsidR="00561DC3">
        <w:fldChar w:fldCharType="separate"/>
      </w:r>
      <w:r w:rsidRPr="00987403" w:rsidR="00987403">
        <w:rPr>
          <w:rStyle w:val="Hyperlink"/>
        </w:rPr>
        <w:t xml:space="preserve">stock </w:t>
      </w:r>
      <w:r w:rsidR="00561DC3">
        <w:rPr>
          <w:rStyle w:val="Hyperlink"/>
        </w:rPr>
        <w:fldChar w:fldCharType="end"/>
      </w:r>
      <w:r w:rsidR="00987403">
        <w:t>.</w:t>
      </w:r>
    </w:p>
    <w:p w:rsidR="00987403" w:rsidP="007C2D0C" w:rsidRDefault="00987403" w14:paraId="7DB9B2D9" w14:textId="77777777">
      <w:pPr>
        <w:jc w:val="both"/>
      </w:pPr>
    </w:p>
    <w:p w:rsidR="00C97C40" w:rsidP="007C2D0C" w:rsidRDefault="004C3340" w14:paraId="4C5F574A" w14:textId="095752D3">
      <w:pPr>
        <w:pStyle w:val="Heading2"/>
        <w:jc w:val="both"/>
      </w:pPr>
      <w:bookmarkStart w:name="_Toc207357638" w:id="7"/>
      <w:r w:rsidR="004C3340">
        <w:rPr/>
        <w:t xml:space="preserve">Produits (historique du nombre de </w:t>
      </w:r>
      <w:r w:rsidR="68BA817D">
        <w:rPr/>
        <w:t>comptages</w:t>
      </w:r>
      <w:r w:rsidR="004C3340">
        <w:rPr/>
        <w:t xml:space="preserve"> par produit)</w:t>
      </w:r>
      <w:bookmarkEnd w:id="7"/>
      <w:r w:rsidR="004C3340">
        <w:rPr/>
        <w:t xml:space="preserve"> </w:t>
      </w:r>
    </w:p>
    <w:p w:rsidR="004C3340" w:rsidP="007C2D0C" w:rsidRDefault="004C3340" w14:paraId="647B3266" w14:textId="0FDB2CD8">
      <w:pPr>
        <w:jc w:val="both"/>
      </w:pPr>
      <w:r>
        <w:t xml:space="preserve">L' </w:t>
      </w:r>
      <w:hyperlink r:id="rId16">
        <w:r w:rsidRPr="7051F938">
          <w:rPr>
            <w:rStyle w:val="Hyperlink"/>
          </w:rPr>
          <w:t xml:space="preserve">onglet PRODUITS </w:t>
        </w:r>
      </w:hyperlink>
      <w:r>
        <w:t>présente un rapport des inventaires cycliques effectués par produit au cours de la période indiquée. Vous pouvez ainsi visualiser tous les inventaires cycliques effectués sur votre site en un seul endroit !</w:t>
      </w:r>
    </w:p>
    <w:p w:rsidR="00335FAE" w:rsidP="007C2D0C" w:rsidRDefault="00335FAE" w14:paraId="61985899" w14:textId="610DE020">
      <w:pPr>
        <w:jc w:val="both"/>
      </w:pPr>
      <w:r w:rsidRPr="521FCCDF">
        <w:rPr>
          <w:lang w:val="fr-FR"/>
        </w:rPr>
        <w:t xml:space="preserve">Accédez à </w:t>
      </w:r>
      <w:r w:rsidRPr="521FCCDF">
        <w:rPr>
          <w:b/>
          <w:bCs/>
          <w:lang w:val="fr-FR"/>
        </w:rPr>
        <w:t xml:space="preserve">Inventaire </w:t>
      </w:r>
      <w:r w:rsidRPr="521FCCDF">
        <w:rPr>
          <w:lang w:val="fr-FR"/>
        </w:rPr>
        <w:t xml:space="preserve">&gt; </w:t>
      </w:r>
      <w:r w:rsidRPr="521FCCDF">
        <w:rPr>
          <w:b/>
          <w:bCs/>
          <w:lang w:val="fr-FR"/>
        </w:rPr>
        <w:t xml:space="preserve">Rapports </w:t>
      </w:r>
      <w:r w:rsidRPr="521FCCDF">
        <w:rPr>
          <w:lang w:val="fr-FR"/>
        </w:rPr>
        <w:t xml:space="preserve">(sous Inventaire cyclique) &gt; onglet </w:t>
      </w:r>
      <w:r w:rsidRPr="521FCCDF" w:rsidR="0005229A">
        <w:rPr>
          <w:b/>
          <w:bCs/>
          <w:lang w:val="fr-FR"/>
        </w:rPr>
        <w:t xml:space="preserve">PRODUITS </w:t>
      </w:r>
      <w:r w:rsidRPr="521FCCDF" w:rsidR="00E4750B">
        <w:rPr>
          <w:lang w:val="fr-FR"/>
        </w:rPr>
        <w:t>.</w:t>
      </w:r>
    </w:p>
    <w:p w:rsidR="004C3340" w:rsidP="004C3340" w:rsidRDefault="00335FAE" w14:paraId="6FF3852D" w14:textId="77777777">
      <w:pPr>
        <w:keepNext/>
        <w:jc w:val="center"/>
      </w:pPr>
      <w:r w:rsidRPr="00335FAE">
        <w:rPr>
          <w:noProof/>
          <w:lang w:val="en-US"/>
        </w:rPr>
        <w:drawing>
          <wp:inline distT="0" distB="0" distL="0" distR="0" wp14:anchorId="4362C06E" wp14:editId="151ACC88">
            <wp:extent cx="5943600" cy="2150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50110"/>
                    </a:xfrm>
                    <a:prstGeom prst="rect">
                      <a:avLst/>
                    </a:prstGeom>
                  </pic:spPr>
                </pic:pic>
              </a:graphicData>
            </a:graphic>
          </wp:inline>
        </w:drawing>
      </w:r>
    </w:p>
    <w:p w:rsidR="00335FAE" w:rsidP="004C3340" w:rsidRDefault="004C3340" w14:paraId="71F5D00D" w14:textId="0B50FAFE">
      <w:pPr>
        <w:pStyle w:val="Caption"/>
        <w:jc w:val="center"/>
      </w:pPr>
      <w:r>
        <w:t>Rapport PRODUITS</w:t>
      </w:r>
    </w:p>
    <w:p w:rsidR="00176221" w:rsidP="007C2D0C" w:rsidRDefault="00176221" w14:paraId="3829EF6D" w14:textId="6B5758C7">
      <w:pPr>
        <w:jc w:val="both"/>
      </w:pPr>
      <w:r>
        <w:t>Ce rapport présente un résumé des comptages cycliques effectués, ainsi que des données importantes. Voici quelques données importantes susceptibles d'intéresser les utilisateurs :</w:t>
      </w:r>
    </w:p>
    <w:p w:rsidR="00176221" w:rsidP="007C2D0C" w:rsidRDefault="00176221" w14:paraId="192869A1" w14:textId="6EDA79AF">
      <w:pPr>
        <w:pStyle w:val="ListParagraph"/>
        <w:numPr>
          <w:ilvl w:val="0"/>
          <w:numId w:val="38"/>
        </w:numPr>
        <w:jc w:val="both"/>
      </w:pPr>
      <w:r>
        <w:t>Quand le produit a été compté pour la dernière fois</w:t>
      </w:r>
    </w:p>
    <w:p w:rsidR="00E4750B" w:rsidP="007C2D0C" w:rsidRDefault="00E4750B" w14:paraId="511D393D" w14:textId="1E85E40B">
      <w:pPr>
        <w:pStyle w:val="ListParagraph"/>
        <w:numPr>
          <w:ilvl w:val="0"/>
          <w:numId w:val="38"/>
        </w:numPr>
        <w:jc w:val="both"/>
      </w:pPr>
      <w:r>
        <w:t>Le nombre de comptages effectués pour le produit au cours de la période</w:t>
      </w:r>
    </w:p>
    <w:p w:rsidR="00E4750B" w:rsidP="007C2D0C" w:rsidRDefault="00E4750B" w14:paraId="2637BA4C" w14:textId="63CF1010">
      <w:pPr>
        <w:pStyle w:val="ListParagraph"/>
        <w:numPr>
          <w:ilvl w:val="0"/>
          <w:numId w:val="38"/>
        </w:numPr>
        <w:jc w:val="both"/>
        <w:rPr/>
      </w:pPr>
      <w:r w:rsidR="00E4750B">
        <w:rPr/>
        <w:t xml:space="preserve">Le nombre d'ajustements résultant de ces comptages (c'est-à-dire le nombre de comptages cycliques qui ont </w:t>
      </w:r>
      <w:r w:rsidR="1A61F403">
        <w:rPr/>
        <w:t>détect</w:t>
      </w:r>
      <w:r w:rsidR="00E4750B">
        <w:rPr/>
        <w:t>é un écart d'inventaire)</w:t>
      </w:r>
    </w:p>
    <w:p w:rsidR="00E4750B" w:rsidP="007C2D0C" w:rsidRDefault="00E4750B" w14:paraId="19473D52" w14:textId="14B323E2">
      <w:pPr>
        <w:pStyle w:val="ListParagraph"/>
        <w:numPr>
          <w:ilvl w:val="0"/>
          <w:numId w:val="38"/>
        </w:numPr>
        <w:jc w:val="both"/>
      </w:pPr>
      <w:r>
        <w:t>Total des ajustements</w:t>
      </w:r>
    </w:p>
    <w:p w:rsidR="00E4750B" w:rsidP="007C2D0C" w:rsidRDefault="00E4750B" w14:paraId="5A9ACCC8" w14:textId="442CD03A">
      <w:pPr>
        <w:pStyle w:val="ListParagraph"/>
        <w:numPr>
          <w:ilvl w:val="0"/>
          <w:numId w:val="38"/>
        </w:numPr>
        <w:jc w:val="both"/>
        <w:rPr/>
      </w:pPr>
      <w:r w:rsidR="00E4750B">
        <w:rPr/>
        <w:t>Valeur d</w:t>
      </w:r>
      <w:r w:rsidR="54B0E6A0">
        <w:rPr/>
        <w:t xml:space="preserve">es </w:t>
      </w:r>
      <w:r w:rsidR="00E4750B">
        <w:rPr/>
        <w:t>ajustement</w:t>
      </w:r>
      <w:r w:rsidR="620A0907">
        <w:rPr/>
        <w:t>s</w:t>
      </w:r>
      <w:r w:rsidR="00E4750B">
        <w:rPr/>
        <w:t xml:space="preserve"> (USD)</w:t>
      </w:r>
    </w:p>
    <w:p w:rsidR="00335FAE" w:rsidP="007C2D0C" w:rsidRDefault="00E4750B" w14:paraId="35338D65" w14:textId="2CE9DF15">
      <w:pPr>
        <w:pStyle w:val="ListParagraph"/>
        <w:numPr>
          <w:ilvl w:val="0"/>
          <w:numId w:val="38"/>
        </w:numPr>
        <w:jc w:val="both"/>
      </w:pPr>
      <w:r>
        <w:t>Comment l'ajustement a affecté les mois de stock pendant lesquels le produit sera en stock en fonction de la demande existante.</w:t>
      </w:r>
    </w:p>
    <w:p w:rsidR="00176221" w:rsidP="00176221" w:rsidRDefault="00176221" w14:paraId="24338052" w14:textId="1E748112">
      <w:pPr>
        <w:keepNext/>
      </w:pPr>
      <w:r w:rsidRPr="00176221">
        <w:rPr>
          <w:noProof/>
          <w:lang w:val="en-US"/>
        </w:rPr>
        <w:drawing>
          <wp:inline distT="0" distB="0" distL="0" distR="0" wp14:anchorId="7688409D" wp14:editId="037B88F1">
            <wp:extent cx="5943600" cy="4648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64820"/>
                    </a:xfrm>
                    <a:prstGeom prst="rect">
                      <a:avLst/>
                    </a:prstGeom>
                  </pic:spPr>
                </pic:pic>
              </a:graphicData>
            </a:graphic>
          </wp:inline>
        </w:drawing>
      </w:r>
    </w:p>
    <w:p w:rsidR="00176221" w:rsidP="00176221" w:rsidRDefault="00176221" w14:paraId="66CE9E15" w14:textId="42D51EBF">
      <w:pPr>
        <w:pStyle w:val="Caption"/>
        <w:jc w:val="center"/>
      </w:pPr>
      <w:r>
        <w:t>Données de comptage de cycles du produit 19390</w:t>
      </w:r>
    </w:p>
    <w:p w:rsidR="00176221" w:rsidP="007C2D0C" w:rsidRDefault="00335FAE" w14:paraId="26E9C6A3" w14:textId="12EE0099">
      <w:pPr>
        <w:jc w:val="both"/>
      </w:pPr>
      <w:r>
        <w:t xml:space="preserve">Par exemple, dans la capture d'écran ci-dessus, le nombre d'inventaires cycliques effectués pour le produit 19390 est de deux pour la période choisie. Sur ces deux inventaires, un a nécessité un </w:t>
      </w:r>
      <w:r>
        <w:t>ajustement des stocks. L'ajustement total pour le produit sur la période choisie, dû aux inventaires cycliques, est une augmentation de 72. Comment cette variation apparaît-elle dans l'historique des stocks ? Voir ci-dessous.</w:t>
      </w:r>
    </w:p>
    <w:p w:rsidR="00176221" w:rsidP="00987403" w:rsidRDefault="00987403" w14:paraId="148FFBD7" w14:textId="62B2A1C3">
      <w:pPr>
        <w:keepNext/>
        <w:jc w:val="center"/>
      </w:pPr>
      <w:r w:rsidRPr="00987403">
        <w:rPr>
          <w:noProof/>
          <w:lang w:val="en-US"/>
        </w:rPr>
        <w:drawing>
          <wp:inline distT="0" distB="0" distL="0" distR="0" wp14:anchorId="79F4B092" wp14:editId="7FA45AA1">
            <wp:extent cx="5943600" cy="11029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102995"/>
                    </a:xfrm>
                    <a:prstGeom prst="rect">
                      <a:avLst/>
                    </a:prstGeom>
                  </pic:spPr>
                </pic:pic>
              </a:graphicData>
            </a:graphic>
          </wp:inline>
        </w:drawing>
      </w:r>
    </w:p>
    <w:p w:rsidR="00335FAE" w:rsidP="00176221" w:rsidRDefault="00987403" w14:paraId="354CB0BC" w14:textId="4180C74E">
      <w:pPr>
        <w:pStyle w:val="Caption"/>
        <w:jc w:val="center"/>
      </w:pPr>
      <w:r>
        <w:t>Historique des stocks 19390 affichant le nombre de cycles et l'ajustement résultant de 72</w:t>
      </w:r>
    </w:p>
    <w:p w:rsidR="0054222E" w:rsidP="00C97C40" w:rsidRDefault="0054222E" w14:paraId="1188A55C" w14:textId="77777777">
      <w:pPr>
        <w:rPr>
          <w:rStyle w:val="SubtleReference"/>
          <w:u w:val="single"/>
        </w:rPr>
      </w:pPr>
    </w:p>
    <w:p w:rsidR="00C97C40" w:rsidP="007C2D0C" w:rsidRDefault="00987403" w14:paraId="343695C2" w14:textId="35E8343E">
      <w:pPr>
        <w:jc w:val="both"/>
        <w:rPr>
          <w:rStyle w:val="SubtleReference"/>
        </w:rPr>
      </w:pPr>
      <w:r w:rsidRPr="001956B1">
        <w:rPr>
          <w:rStyle w:val="SubtleReference"/>
          <w:u w:val="single"/>
        </w:rPr>
        <w:t xml:space="preserve">Important : </w:t>
      </w:r>
      <w:r w:rsidRPr="001956B1">
        <w:rPr>
          <w:rStyle w:val="SubtleReference"/>
        </w:rPr>
        <w:t>Le total des ajustements affiche les ajustements résultant de tous les inventaires tournants effectués pour la période. Si deux inventaires tournants pour un produit ont donné lieu à deux ajustements, le total des ajustements affiche une valeur pour les variations de stock dues aux deux inventaires tournants.</w:t>
      </w:r>
    </w:p>
    <w:p w:rsidRPr="001956B1" w:rsidR="0005229A" w:rsidP="521FCCDF" w:rsidRDefault="0005229A" w14:paraId="2828F362" w14:textId="40BCE13E">
      <w:pPr>
        <w:jc w:val="both"/>
        <w:rPr>
          <w:rStyle w:val="SubtleReference"/>
          <w:lang w:val="fr-FR"/>
        </w:rPr>
      </w:pPr>
      <w:r w:rsidRPr="20579E56" w:rsidR="0005229A">
        <w:rPr>
          <w:rStyle w:val="SubtleReference"/>
          <w:lang w:val="fr-FR"/>
        </w:rPr>
        <w:t>exemple</w:t>
      </w:r>
      <w:r w:rsidRPr="20579E56" w:rsidR="0005229A">
        <w:rPr>
          <w:rStyle w:val="SubtleReference"/>
          <w:lang w:val="fr-FR"/>
        </w:rPr>
        <w:t xml:space="preserve"> : si le </w:t>
      </w:r>
      <w:r w:rsidRPr="20579E56" w:rsidR="71B5A10F">
        <w:rPr>
          <w:rStyle w:val="SubtleReference"/>
          <w:sz w:val="22"/>
          <w:szCs w:val="22"/>
          <w:lang w:val="fr-FR"/>
        </w:rPr>
        <w:t>COMPTAGE NO</w:t>
      </w:r>
      <w:r w:rsidRPr="20579E56" w:rsidR="0005229A">
        <w:rPr>
          <w:rStyle w:val="SubtleReference"/>
          <w:lang w:val="fr-FR"/>
        </w:rPr>
        <w:t xml:space="preserve"> 1 a entraîné un ajustement de -6 et que le </w:t>
      </w:r>
      <w:r w:rsidRPr="20579E56" w:rsidR="53FC4DA8">
        <w:rPr>
          <w:rStyle w:val="SubtleReference"/>
          <w:sz w:val="22"/>
          <w:szCs w:val="22"/>
          <w:lang w:val="fr-FR"/>
        </w:rPr>
        <w:t>COMPTAGE NO</w:t>
      </w:r>
      <w:r w:rsidRPr="20579E56" w:rsidR="0005229A">
        <w:rPr>
          <w:rStyle w:val="SubtleReference"/>
          <w:lang w:val="fr-FR"/>
        </w:rPr>
        <w:t xml:space="preserve"> 2 a entraîné un ajustement de 100, le « total des ajustements » affichera 94.</w:t>
      </w:r>
    </w:p>
    <w:p w:rsidRPr="00292481" w:rsidR="001956B1" w:rsidP="007C2D0C" w:rsidRDefault="001956B1" w14:paraId="2F7F6B0F" w14:textId="77777777">
      <w:pPr>
        <w:jc w:val="both"/>
        <w:rPr>
          <w:i/>
        </w:rPr>
      </w:pPr>
    </w:p>
    <w:p w:rsidR="00235FBE" w:rsidP="00235FBE" w:rsidRDefault="00235FBE" w14:paraId="5DD4B346" w14:textId="449196DB">
      <w:pPr>
        <w:pStyle w:val="Heading2"/>
      </w:pPr>
      <w:bookmarkStart w:name="_Toc207357639" w:id="8"/>
      <w:r>
        <w:t>Rapport sur les transactions d'inventaire</w:t>
      </w:r>
      <w:bookmarkEnd w:id="8"/>
      <w:r w:rsidR="001956B1">
        <w:t xml:space="preserve"> </w:t>
      </w:r>
    </w:p>
    <w:p w:rsidR="007000D0" w:rsidP="007C2D0C" w:rsidRDefault="00866613" w14:paraId="19271D17" w14:textId="77777777">
      <w:pPr>
        <w:jc w:val="both"/>
      </w:pPr>
      <w:r>
        <w:t>Avec différentes manières de mettre à jour l'inventaire des produits, il serait intéressant d'avoir un rapport résumant les mises à jour d'inventaire qui ont eu lieu pour un produit et en raison de quelle transaction.</w:t>
      </w:r>
    </w:p>
    <w:p w:rsidR="001956B1" w:rsidP="007C2D0C" w:rsidRDefault="007000D0" w14:paraId="0459FB8B" w14:textId="23345B8E">
      <w:pPr>
        <w:jc w:val="both"/>
      </w:pPr>
      <w:r>
        <w:t>Ces données nous donnent un aperçu précieux de la manière dont notre inventaire est géré et nous aident à identifier les opportunités d’une meilleure gestion des stocks.</w:t>
      </w:r>
    </w:p>
    <w:p w:rsidR="00866613" w:rsidP="007C2D0C" w:rsidRDefault="001956B1" w14:paraId="5B7754E3" w14:textId="04BEC8C3">
      <w:pPr>
        <w:jc w:val="both"/>
      </w:pPr>
      <w:r>
        <w:t xml:space="preserve">C'est pourquoi nous avons créé le </w:t>
      </w:r>
      <w:hyperlink w:history="1" r:id="rId20">
        <w:r>
          <w:rPr>
            <w:rStyle w:val="Hyperlink"/>
          </w:rPr>
          <w:t>rapport TRANSACTIONS DE STOCK</w:t>
        </w:r>
      </w:hyperlink>
      <w:r>
        <w:t> ! Ce rapport présente les transactions de stock de produits enregistrées via les fonctions ENREGISTREMENT DES STOCKS (RS), IMPORTATION DES STOCKS (II), COMPTAGE CYCLIQUE (CC) et AJUSTEMENTS DES STOCKS (IA) (via la fonction Ajuster les stocks).</w:t>
      </w:r>
    </w:p>
    <w:p w:rsidR="00866613" w:rsidP="007C2D0C" w:rsidRDefault="00866613" w14:paraId="6E0FC73B" w14:textId="369C72BF">
      <w:pPr>
        <w:jc w:val="both"/>
      </w:pPr>
      <w:r w:rsidRPr="521FCCDF">
        <w:rPr>
          <w:lang w:val="fr-FR"/>
        </w:rPr>
        <w:t xml:space="preserve">Accédez à </w:t>
      </w:r>
      <w:r w:rsidRPr="521FCCDF">
        <w:rPr>
          <w:b/>
          <w:bCs/>
          <w:lang w:val="fr-FR"/>
        </w:rPr>
        <w:t xml:space="preserve">Inventaire </w:t>
      </w:r>
      <w:r w:rsidRPr="521FCCDF">
        <w:rPr>
          <w:lang w:val="fr-FR"/>
        </w:rPr>
        <w:t xml:space="preserve">&gt; </w:t>
      </w:r>
      <w:r w:rsidRPr="521FCCDF">
        <w:rPr>
          <w:b/>
          <w:bCs/>
          <w:lang w:val="fr-FR"/>
        </w:rPr>
        <w:t xml:space="preserve">Rapports </w:t>
      </w:r>
      <w:r w:rsidRPr="521FCCDF">
        <w:rPr>
          <w:lang w:val="fr-FR"/>
        </w:rPr>
        <w:t xml:space="preserve">(sous Inventaire cyclique) &gt; onglet </w:t>
      </w:r>
      <w:r w:rsidRPr="521FCCDF" w:rsidR="0005229A">
        <w:rPr>
          <w:b/>
          <w:bCs/>
          <w:lang w:val="fr-FR"/>
        </w:rPr>
        <w:t xml:space="preserve">TRANSACTIONS D'INVENTAIRE </w:t>
      </w:r>
      <w:r w:rsidRPr="521FCCDF">
        <w:rPr>
          <w:lang w:val="fr-FR"/>
        </w:rPr>
        <w:t>.</w:t>
      </w:r>
    </w:p>
    <w:p w:rsidR="000E2237" w:rsidP="007C2D0C" w:rsidRDefault="000E2237" w14:paraId="2AA92DB8" w14:textId="5BC09012">
      <w:pPr>
        <w:jc w:val="both"/>
      </w:pPr>
      <w:r>
        <w:t xml:space="preserve">Dans ce rapport, vous verrez la mise à jour des stocks pour chaque produit, selon le type de transaction. Les colonnes </w:t>
      </w:r>
      <w:r w:rsidRPr="0005229A">
        <w:rPr>
          <w:u w:val="single"/>
        </w:rPr>
        <w:t xml:space="preserve">« Alignement » </w:t>
      </w:r>
      <w:r>
        <w:t xml:space="preserve">et </w:t>
      </w:r>
      <w:r w:rsidRPr="0005229A">
        <w:rPr>
          <w:u w:val="single"/>
        </w:rPr>
        <w:t>« Différence</w:t>
      </w:r>
      <w:r>
        <w:t> » indiquent si la transaction a entraîné une augmentation, une diminution ou une absence de différence pour le stock du produit. Utilisez l'ID de transaction pour localiser facilement la transaction dans l'historique des stocks du produit.</w:t>
      </w:r>
    </w:p>
    <w:p w:rsidR="000E2237" w:rsidP="007C2D0C" w:rsidRDefault="000E2237" w14:paraId="2C30EB88" w14:textId="06FB6A89">
      <w:pPr>
        <w:jc w:val="both"/>
      </w:pPr>
      <w:r w:rsidRPr="20579E56" w:rsidR="000E2237">
        <w:rPr>
          <w:i w:val="1"/>
          <w:iCs w:val="1"/>
        </w:rPr>
        <w:t xml:space="preserve">La colonne </w:t>
      </w:r>
      <w:r w:rsidRPr="20579E56" w:rsidR="000E2237">
        <w:rPr>
          <w:i w:val="1"/>
          <w:iCs w:val="1"/>
          <w:u w:val="single"/>
        </w:rPr>
        <w:t>« </w:t>
      </w:r>
      <w:r w:rsidRPr="20579E56" w:rsidR="71FB74E0">
        <w:rPr>
          <w:i w:val="1"/>
          <w:iCs w:val="1"/>
          <w:u w:val="single"/>
        </w:rPr>
        <w:t>Origine de divergence</w:t>
      </w:r>
      <w:r w:rsidRPr="20579E56" w:rsidR="000E2237">
        <w:rPr>
          <w:i w:val="1"/>
          <w:iCs w:val="1"/>
          <w:u w:val="single"/>
        </w:rPr>
        <w:t xml:space="preserve"> » </w:t>
      </w:r>
      <w:r w:rsidRPr="20579E56" w:rsidR="000E2237">
        <w:rPr>
          <w:i w:val="1"/>
          <w:iCs w:val="1"/>
        </w:rPr>
        <w:t xml:space="preserve">s'applique uniquement aux transactions d'inventaire tournant. Si plusieurs </w:t>
      </w:r>
      <w:r w:rsidRPr="20579E56" w:rsidR="34ADDFAF">
        <w:rPr>
          <w:i w:val="1"/>
          <w:iCs w:val="1"/>
        </w:rPr>
        <w:t>origin</w:t>
      </w:r>
      <w:r w:rsidRPr="20579E56" w:rsidR="000E2237">
        <w:rPr>
          <w:i w:val="1"/>
          <w:iCs w:val="1"/>
        </w:rPr>
        <w:t>es existent, elles seront regroupées sur une seule ligne, séparées par une virgule.</w:t>
      </w:r>
    </w:p>
    <w:p w:rsidR="000E2237" w:rsidP="000E2237" w:rsidRDefault="000E2237" w14:paraId="53B4620F" w14:textId="77777777">
      <w:pPr>
        <w:keepNext/>
        <w:ind w:left="360"/>
      </w:pPr>
      <w:r w:rsidRPr="000E2237">
        <w:rPr>
          <w:noProof/>
          <w:lang w:val="en-US"/>
        </w:rPr>
        <w:drawing>
          <wp:inline distT="0" distB="0" distL="0" distR="0" wp14:anchorId="495D6E69" wp14:editId="6741E478">
            <wp:extent cx="6036733" cy="2490152"/>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6072" cy="2502255"/>
                    </a:xfrm>
                    <a:prstGeom prst="rect">
                      <a:avLst/>
                    </a:prstGeom>
                  </pic:spPr>
                </pic:pic>
              </a:graphicData>
            </a:graphic>
          </wp:inline>
        </w:drawing>
      </w:r>
    </w:p>
    <w:p w:rsidR="000E2237" w:rsidP="000E2237" w:rsidRDefault="000E2237" w14:paraId="349ED406" w14:textId="363B5397">
      <w:pPr>
        <w:pStyle w:val="Caption"/>
        <w:jc w:val="center"/>
      </w:pPr>
      <w:r>
        <w:t>Rapport sur les transactions d'inventaire</w:t>
      </w:r>
    </w:p>
    <w:p w:rsidR="00500830" w:rsidP="000E2237" w:rsidRDefault="00500830" w14:paraId="2ABE15B0" w14:textId="4ADE7828">
      <w:pPr>
        <w:ind w:left="360"/>
      </w:pPr>
    </w:p>
    <w:p w:rsidRPr="000E2237" w:rsidR="003E5945" w:rsidP="007C2D0C" w:rsidRDefault="000E2237" w14:paraId="3391AE26" w14:textId="7884F072">
      <w:pPr>
        <w:jc w:val="both"/>
        <w:rPr>
          <w:smallCaps/>
          <w:color w:val="5A5A5A"/>
        </w:rPr>
      </w:pPr>
      <w:r w:rsidRPr="000E2237">
        <w:rPr>
          <w:rStyle w:val="SubtleReference"/>
        </w:rPr>
        <w:t xml:space="preserve">Remarque : </w:t>
      </w:r>
      <w:r w:rsidRPr="000E2237" w:rsidR="00866613">
        <w:rPr>
          <w:rStyle w:val="SubtleReference"/>
        </w:rPr>
        <w:t>Le rapport sur les variations de stock peut ne pas afficher les calculs exacts pour les transactions enregistrées via la fonction « Enregistrer le stock » et lorsque la quantité précédente est nulle (uniquement lorsque la valeur zéro est due à une transaction de débit). Ce problème est dû à un problème de classification technique qui sera résolu dans la version 0.9.6.</w:t>
      </w:r>
    </w:p>
    <w:p w:rsidRPr="003E5945" w:rsidR="003E5945" w:rsidP="007C2D0C" w:rsidRDefault="003E5945" w14:paraId="2FBF6718" w14:textId="77777777">
      <w:pPr>
        <w:jc w:val="both"/>
      </w:pPr>
    </w:p>
    <w:p w:rsidR="00532A7A" w:rsidP="007C2D0C" w:rsidRDefault="00532A7A" w14:paraId="772F897F" w14:textId="72EEC90B">
      <w:pPr>
        <w:pStyle w:val="Heading2"/>
        <w:jc w:val="both"/>
      </w:pPr>
      <w:bookmarkStart w:name="_Toc207357640" w:id="9"/>
      <w:r>
        <w:t>Tableau de bord de précision des stocks</w:t>
      </w:r>
      <w:bookmarkEnd w:id="9"/>
      <w:r w:rsidR="00E4750B">
        <w:t xml:space="preserve"> </w:t>
      </w:r>
    </w:p>
    <w:p w:rsidR="000E2237" w:rsidP="007C2D0C" w:rsidRDefault="000E2237" w14:paraId="42E00336" w14:textId="70E76E96">
      <w:pPr>
        <w:jc w:val="both"/>
      </w:pPr>
      <w:r w:rsidRPr="521FCCDF">
        <w:rPr>
          <w:lang w:val="fr-FR"/>
        </w:rPr>
        <w:t xml:space="preserve">Autre nouveauté intéressante : l' onglet </w:t>
      </w:r>
      <w:hyperlink r:id="rId22">
        <w:r w:rsidRPr="521FCCDF">
          <w:rPr>
            <w:rStyle w:val="Hyperlink"/>
            <w:lang w:val="fr-FR"/>
          </w:rPr>
          <w:t>INDICATEURS</w:t>
        </w:r>
      </w:hyperlink>
      <w:r w:rsidRPr="521FCCDF">
        <w:rPr>
          <w:lang w:val="fr-FR"/>
        </w:rPr>
        <w:t> ! Ces indicateurs synthétisent les données de comptage cyclique. Vous pouvez facilement consulter les résumés de comptage cyclique pour la période souhaitée grâce à ces indicateurs.</w:t>
      </w:r>
    </w:p>
    <w:p w:rsidR="00E4750B" w:rsidP="007C2D0C" w:rsidRDefault="00E4750B" w14:paraId="0DB5CCFF" w14:textId="4F340C03">
      <w:pPr>
        <w:jc w:val="both"/>
      </w:pPr>
      <w:r w:rsidRPr="521FCCDF">
        <w:rPr>
          <w:lang w:val="fr-FR"/>
        </w:rPr>
        <w:t xml:space="preserve">Accédez à </w:t>
      </w:r>
      <w:r w:rsidRPr="521FCCDF">
        <w:rPr>
          <w:b/>
          <w:bCs/>
          <w:lang w:val="fr-FR"/>
        </w:rPr>
        <w:t xml:space="preserve">Inventaire </w:t>
      </w:r>
      <w:r w:rsidRPr="521FCCDF">
        <w:rPr>
          <w:lang w:val="fr-FR"/>
        </w:rPr>
        <w:t xml:space="preserve">&gt; </w:t>
      </w:r>
      <w:r w:rsidRPr="521FCCDF">
        <w:rPr>
          <w:b/>
          <w:bCs/>
          <w:lang w:val="fr-FR"/>
        </w:rPr>
        <w:t xml:space="preserve">Rapports </w:t>
      </w:r>
      <w:r w:rsidRPr="521FCCDF">
        <w:rPr>
          <w:lang w:val="fr-FR"/>
        </w:rPr>
        <w:t xml:space="preserve">(sous Inventaire cyclique) &gt; onglet </w:t>
      </w:r>
      <w:r w:rsidRPr="521FCCDF">
        <w:rPr>
          <w:b/>
          <w:bCs/>
          <w:lang w:val="fr-FR"/>
        </w:rPr>
        <w:t xml:space="preserve">Indicateurs </w:t>
      </w:r>
      <w:r w:rsidRPr="521FCCDF">
        <w:rPr>
          <w:lang w:val="fr-FR"/>
        </w:rPr>
        <w:t>.</w:t>
      </w:r>
    </w:p>
    <w:p w:rsidR="00EB438B" w:rsidP="00EB438B" w:rsidRDefault="00E4750B" w14:paraId="50513EA4" w14:textId="77777777">
      <w:pPr>
        <w:keepNext/>
        <w:jc w:val="center"/>
      </w:pPr>
      <w:r w:rsidRPr="00E4750B">
        <w:rPr>
          <w:noProof/>
          <w:lang w:val="en-US"/>
        </w:rPr>
        <w:drawing>
          <wp:inline distT="0" distB="0" distL="0" distR="0" wp14:anchorId="16A50854" wp14:editId="282309A4">
            <wp:extent cx="6187136" cy="119380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38151" cy="1203643"/>
                    </a:xfrm>
                    <a:prstGeom prst="rect">
                      <a:avLst/>
                    </a:prstGeom>
                  </pic:spPr>
                </pic:pic>
              </a:graphicData>
            </a:graphic>
          </wp:inline>
        </w:drawing>
      </w:r>
    </w:p>
    <w:p w:rsidR="00EB438B" w:rsidP="00EB438B" w:rsidRDefault="00EB438B" w14:paraId="5A944CA2" w14:textId="4C69EB55">
      <w:pPr>
        <w:pStyle w:val="Caption"/>
        <w:jc w:val="center"/>
      </w:pPr>
      <w:r>
        <w:t>Indicateurs de précision des stocks</w:t>
      </w:r>
    </w:p>
    <w:p w:rsidR="00E4750B" w:rsidP="00E4750B" w:rsidRDefault="00E4750B" w14:paraId="1ABDBA8A" w14:textId="1CC86ED9">
      <w:pPr>
        <w:jc w:val="center"/>
      </w:pPr>
    </w:p>
    <w:p w:rsidR="00EB438B" w:rsidP="007C2D0C" w:rsidRDefault="00EB438B" w14:paraId="10653EBD" w14:textId="6B971913">
      <w:pPr>
        <w:pStyle w:val="Heading3"/>
        <w:jc w:val="both"/>
      </w:pPr>
      <w:bookmarkStart w:name="_Toc207357641" w:id="10"/>
      <w:r>
        <w:t>Inventaires de produits</w:t>
      </w:r>
      <w:bookmarkEnd w:id="10"/>
    </w:p>
    <w:p w:rsidR="00A4285C" w:rsidP="007C2D0C" w:rsidRDefault="00EB438B" w14:paraId="28D533E2" w14:textId="1B135F18">
      <w:pPr>
        <w:jc w:val="both"/>
      </w:pPr>
      <w:r>
        <w:t>Cet indicateur affiche le nombre de produits comptés au moins une fois au cours de la période sélectionnée.</w:t>
      </w:r>
    </w:p>
    <w:p w:rsidR="00EB438B" w:rsidP="007C2D0C" w:rsidRDefault="00EB438B" w14:paraId="7885C57A" w14:textId="3927108B">
      <w:pPr>
        <w:pStyle w:val="Heading3"/>
        <w:jc w:val="both"/>
      </w:pPr>
      <w:bookmarkStart w:name="_Toc207357642" w:id="11"/>
      <w:r>
        <w:t>Exactitude de l'inventaire</w:t>
      </w:r>
      <w:bookmarkEnd w:id="11"/>
    </w:p>
    <w:p w:rsidR="00EB438B" w:rsidP="20579E56" w:rsidRDefault="00EB438B" w14:paraId="2AB26B74" w14:textId="53A61D57">
      <w:pPr>
        <w:jc w:val="both"/>
        <w:rPr>
          <w:lang w:val="fr-FR"/>
        </w:rPr>
      </w:pPr>
      <w:r w:rsidRPr="20579E56" w:rsidR="00EB438B">
        <w:rPr>
          <w:lang w:val="fr-FR"/>
        </w:rPr>
        <w:t xml:space="preserve">Cet indicateur affiche le pourcentage d'inventaires cycliques ayant abouti à des inventaires identiques (le </w:t>
      </w:r>
      <w:r w:rsidRPr="20579E56" w:rsidR="3D6B7D2D">
        <w:rPr>
          <w:lang w:val="fr-FR"/>
        </w:rPr>
        <w:t>décompt</w:t>
      </w:r>
      <w:r w:rsidRPr="20579E56" w:rsidR="00EB438B">
        <w:rPr>
          <w:lang w:val="fr-FR"/>
        </w:rPr>
        <w:t>e physique correspond à la quantité d</w:t>
      </w:r>
      <w:r w:rsidRPr="20579E56" w:rsidR="5FBDDD1E">
        <w:rPr>
          <w:lang w:val="fr-FR"/>
        </w:rPr>
        <w:t xml:space="preserve">ans </w:t>
      </w:r>
      <w:r w:rsidRPr="20579E56" w:rsidR="5FBDDD1E">
        <w:rPr>
          <w:lang w:val="fr-FR"/>
        </w:rPr>
        <w:t>O</w:t>
      </w:r>
      <w:r w:rsidRPr="20579E56" w:rsidR="00EB438B">
        <w:rPr>
          <w:lang w:val="fr-FR"/>
        </w:rPr>
        <w:t>penBox</w:t>
      </w:r>
      <w:r w:rsidRPr="20579E56" w:rsidR="003D88FF">
        <w:rPr>
          <w:lang w:val="fr-FR"/>
        </w:rPr>
        <w:t>es</w:t>
      </w:r>
      <w:r w:rsidRPr="20579E56" w:rsidR="00EB438B">
        <w:rPr>
          <w:lang w:val="fr-FR"/>
        </w:rPr>
        <w:t>). Il représente la part du stock pour laquelle l'inventaire d'</w:t>
      </w:r>
      <w:r w:rsidRPr="20579E56" w:rsidR="00EB438B">
        <w:rPr>
          <w:lang w:val="fr-FR"/>
        </w:rPr>
        <w:t>OpenBox</w:t>
      </w:r>
      <w:r w:rsidRPr="20579E56" w:rsidR="07EA6D03">
        <w:rPr>
          <w:lang w:val="fr-FR"/>
        </w:rPr>
        <w:t>es</w:t>
      </w:r>
      <w:r w:rsidRPr="20579E56" w:rsidR="00EB438B">
        <w:rPr>
          <w:lang w:val="fr-FR"/>
        </w:rPr>
        <w:t xml:space="preserve"> </w:t>
      </w:r>
      <w:r w:rsidRPr="20579E56" w:rsidR="39E5F5DF">
        <w:rPr>
          <w:lang w:val="fr-FR"/>
        </w:rPr>
        <w:t xml:space="preserve">est </w:t>
      </w:r>
      <w:r w:rsidRPr="20579E56" w:rsidR="39E5F5DF">
        <w:rPr>
          <w:lang w:val="fr-FR"/>
        </w:rPr>
        <w:t>su</w:t>
      </w:r>
      <w:r w:rsidRPr="20579E56" w:rsidR="3631F109">
        <w:rPr>
          <w:lang w:val="fr-FR"/>
        </w:rPr>
        <w:t>s</w:t>
      </w:r>
      <w:r w:rsidRPr="20579E56" w:rsidR="39E5F5DF">
        <w:rPr>
          <w:lang w:val="fr-FR"/>
        </w:rPr>
        <w:t>ceptible</w:t>
      </w:r>
      <w:r w:rsidRPr="20579E56" w:rsidR="39E5F5DF">
        <w:rPr>
          <w:lang w:val="fr-FR"/>
        </w:rPr>
        <w:t xml:space="preserve"> de </w:t>
      </w:r>
      <w:r w:rsidRPr="20579E56" w:rsidR="00EB438B">
        <w:rPr>
          <w:lang w:val="fr-FR"/>
        </w:rPr>
        <w:t>correspond</w:t>
      </w:r>
      <w:r w:rsidRPr="20579E56" w:rsidR="43282CA4">
        <w:rPr>
          <w:lang w:val="fr-FR"/>
        </w:rPr>
        <w:t>re</w:t>
      </w:r>
      <w:r w:rsidRPr="20579E56" w:rsidR="00EB438B">
        <w:rPr>
          <w:lang w:val="fr-FR"/>
        </w:rPr>
        <w:t xml:space="preserve"> exactement à l'inventaire physique.</w:t>
      </w:r>
    </w:p>
    <w:p w:rsidR="00EB438B" w:rsidP="007C2D0C" w:rsidRDefault="00EB438B" w14:paraId="1EDD0388" w14:textId="06D5582F">
      <w:pPr>
        <w:pStyle w:val="Heading3"/>
        <w:jc w:val="both"/>
      </w:pPr>
      <w:bookmarkStart w:name="_Toc207357643" w:id="12"/>
      <w:r>
        <w:t>Réduction des stocks</w:t>
      </w:r>
      <w:bookmarkEnd w:id="12"/>
    </w:p>
    <w:p w:rsidR="00020387" w:rsidP="007C2D0C" w:rsidRDefault="00EB438B" w14:paraId="798928EB" w14:textId="66228E79">
      <w:pPr>
        <w:jc w:val="both"/>
      </w:pPr>
      <w:r w:rsidR="00EB438B">
        <w:rPr/>
        <w:t xml:space="preserve">Cet indicateur présente le nombre de produits pour lesquels l'ajustement global des stocks pour la période sélectionnée est négatif ; si le total de tous les ajustements enregistrés est négatif au cours de la période donnée, ce produit est comptabilisé comme une </w:t>
      </w:r>
      <w:r w:rsidR="256AE297">
        <w:rPr/>
        <w:t>réduction</w:t>
      </w:r>
      <w:r w:rsidR="00EB438B">
        <w:rPr/>
        <w:t xml:space="preserve">. La </w:t>
      </w:r>
      <w:r w:rsidR="58CBEF5B">
        <w:rPr/>
        <w:t>valeur</w:t>
      </w:r>
      <w:r w:rsidR="00EB438B">
        <w:rPr/>
        <w:t xml:space="preserve"> financière est l'équivalent de la diminution des stocks de ces produits en USD.</w:t>
      </w:r>
    </w:p>
    <w:p w:rsidR="00020387" w:rsidP="00020387" w:rsidRDefault="00020387" w14:paraId="65C9E276" w14:textId="3B1E92BA"/>
    <w:p w:rsidR="00020387" w:rsidP="00020387" w:rsidRDefault="00454EAD" w14:paraId="75C2A014" w14:textId="010D33CB">
      <w:pPr>
        <w:pStyle w:val="Heading2"/>
      </w:pPr>
      <w:bookmarkStart w:name="_Toc207357644" w:id="13"/>
      <w:r>
        <w:t>Refactorisation des transactions d'inventaire [technique]</w:t>
      </w:r>
      <w:bookmarkEnd w:id="13"/>
    </w:p>
    <w:p w:rsidR="00454EAD" w:rsidP="007C2D0C" w:rsidRDefault="00020387" w14:paraId="055245D9" w14:textId="4DC2802C">
      <w:pPr>
        <w:jc w:val="both"/>
      </w:pPr>
      <w:r>
        <w:rPr>
          <w:rStyle w:val="CommentReference"/>
        </w:rPr>
      </w:r>
      <w:r>
        <w:t>Ce changement technique ne change pas la manière dont les stocks et l’historique des stocks sont calculés.</w:t>
      </w:r>
    </w:p>
    <w:p w:rsidR="00020387" w:rsidP="007C2D0C" w:rsidRDefault="00020387" w14:paraId="468412F4" w14:textId="099A739F">
      <w:pPr>
        <w:jc w:val="both"/>
      </w:pPr>
      <w:r w:rsidRPr="521FCCDF">
        <w:rPr>
          <w:lang w:val="fr-FR"/>
        </w:rPr>
        <w:t>Cette modification permet à OpenBoxes de générer des rapports sur les quantités avant et après les transactions de stock. Les transactions de stock enregistrées et les importations de stock s'afficheront dans l'historique des stocks comme références pour les ajustements représentant les variations de stock.</w:t>
      </w:r>
    </w:p>
    <w:p w:rsidR="00020387" w:rsidP="008279E5" w:rsidRDefault="00020387" w14:paraId="77407479" w14:textId="77777777">
      <w:pPr>
        <w:jc w:val="center"/>
      </w:pPr>
      <w:r w:rsidRPr="00020387">
        <w:rPr>
          <w:noProof/>
          <w:lang w:val="en-US"/>
        </w:rPr>
        <w:drawing>
          <wp:inline distT="0" distB="0" distL="0" distR="0" wp14:anchorId="2165C65B" wp14:editId="0744D9FE">
            <wp:extent cx="3803073" cy="78837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8330" cy="793610"/>
                    </a:xfrm>
                    <a:prstGeom prst="rect">
                      <a:avLst/>
                    </a:prstGeom>
                  </pic:spPr>
                </pic:pic>
              </a:graphicData>
            </a:graphic>
          </wp:inline>
        </w:drawing>
      </w:r>
    </w:p>
    <w:p w:rsidR="00020387" w:rsidP="00020387" w:rsidRDefault="00020387" w14:paraId="1EEFC79C" w14:textId="64EB279D">
      <w:pPr>
        <w:pStyle w:val="Caption"/>
        <w:jc w:val="center"/>
      </w:pPr>
      <w:r>
        <w:t>Inventaire de base affiché dans l'historique des stocks</w:t>
      </w:r>
    </w:p>
    <w:p w:rsidR="00020387" w:rsidP="00020387" w:rsidRDefault="00020387" w14:paraId="73D4EB05" w14:textId="77777777"/>
    <w:p w:rsidR="002448B3" w:rsidP="008B4D8D" w:rsidRDefault="00EB438B" w14:paraId="188A5089" w14:textId="0FF06217">
      <w:pPr>
        <w:pStyle w:val="Heading1"/>
      </w:pPr>
      <w:bookmarkStart w:name="_Toc207357645" w:id="14"/>
      <w:bookmarkStart w:name="_Toc161213406" w:id="15"/>
      <w:bookmarkStart w:name="_Toc168296081" w:id="16"/>
      <w:r>
        <w:t>AMÉLIORATIONS DU COMPTAGE DES CYCLE</w:t>
      </w:r>
      <w:bookmarkEnd w:id="14"/>
    </w:p>
    <w:p w:rsidR="002448B3" w:rsidP="007C2D0C" w:rsidRDefault="001A6B17" w14:paraId="1A3235A6" w14:textId="55A35F6B">
      <w:pPr>
        <w:jc w:val="both"/>
      </w:pPr>
      <w:r>
        <w:t xml:space="preserve">En tant que deuxième itération de la version 0.9.4 </w:t>
      </w:r>
      <w:hyperlink w:history="1" r:id="rId25">
        <w:r w:rsidRPr="007C2D0C">
          <w:rPr>
            <w:rStyle w:val="Hyperlink"/>
          </w:rPr>
          <w:t xml:space="preserve">Cycle Count </w:t>
        </w:r>
      </w:hyperlink>
      <w:r>
        <w:t>, cette version contient diverses améliorations du flux de travail Cycle Count pour rendre le processus plus efficace.</w:t>
      </w:r>
    </w:p>
    <w:p w:rsidRPr="009F2258" w:rsidR="009A7C9B" w:rsidP="007C2D0C" w:rsidRDefault="009A7C9B" w14:paraId="6E5819F1" w14:textId="09DBCA6C">
      <w:pPr>
        <w:jc w:val="both"/>
        <w:rPr>
          <w:rStyle w:val="SubtleReference"/>
        </w:rPr>
      </w:pPr>
      <w:r w:rsidRPr="20579E56" w:rsidR="009A7C9B">
        <w:rPr>
          <w:rStyle w:val="SubtleReference"/>
        </w:rPr>
        <w:t>Dans ce document, les « onglets » font référence au menu de comptage cyclique (TOUS LES PRODUITS, EFFECTUER LE COMPTAGE ET RÉSO</w:t>
      </w:r>
      <w:r w:rsidRPr="20579E56" w:rsidR="57F17283">
        <w:rPr>
          <w:rStyle w:val="SubtleReference"/>
        </w:rPr>
        <w:t>UDRE</w:t>
      </w:r>
      <w:r w:rsidRPr="20579E56" w:rsidR="009A7C9B">
        <w:rPr>
          <w:rStyle w:val="SubtleReference"/>
        </w:rPr>
        <w:t xml:space="preserve"> LE COMPTAGE) et les « flux de travail » font référence au processus d'exécution des comptages (saisie des informations de comptage).</w:t>
      </w:r>
    </w:p>
    <w:p w:rsidRPr="002448B3" w:rsidR="001A6B17" w:rsidP="007C2D0C" w:rsidRDefault="001A6B17" w14:paraId="3E48B080" w14:textId="77777777">
      <w:pPr>
        <w:jc w:val="both"/>
      </w:pPr>
    </w:p>
    <w:p w:rsidR="003E5945" w:rsidP="007C2D0C" w:rsidRDefault="001A6B17" w14:paraId="6BCD0F7D" w14:textId="1AAB6AE4">
      <w:pPr>
        <w:pStyle w:val="Heading3"/>
        <w:jc w:val="both"/>
      </w:pPr>
      <w:bookmarkStart w:name="_Toc207357646" w:id="17"/>
      <w:r>
        <w:t>Icône d'ajustement d'inventaire différente dans l'historique des stocks</w:t>
      </w:r>
      <w:bookmarkEnd w:id="17"/>
    </w:p>
    <w:p w:rsidR="003E5945" w:rsidP="007C2D0C" w:rsidRDefault="003E5945" w14:paraId="15BB350A" w14:textId="100CDA5E">
      <w:pPr>
        <w:jc w:val="both"/>
      </w:pPr>
      <w:r>
        <w:t xml:space="preserve">Dans le cadre des améliorations apportées au cycle d'inventaire, nous avons modifié l'icône d'ajustement des stocks. Cette icône </w:t>
      </w:r>
      <w:r w:rsidRPr="003E5945">
        <w:rPr>
          <w:noProof/>
          <w:lang w:val="en-US"/>
        </w:rPr>
        <w:drawing>
          <wp:inline distT="0" distB="0" distL="0" distR="0" wp14:anchorId="28EE42EF" wp14:editId="578AA569">
            <wp:extent cx="243861" cy="31244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861" cy="312447"/>
                    </a:xfrm>
                    <a:prstGeom prst="rect">
                      <a:avLst/>
                    </a:prstGeom>
                  </pic:spPr>
                </pic:pic>
              </a:graphicData>
            </a:graphic>
          </wp:inline>
        </w:drawing>
      </w:r>
      <w:r w:rsidR="001A6B17">
        <w:t>représente désormais les ajustements de stock positifs et négatifs.</w:t>
      </w:r>
    </w:p>
    <w:p w:rsidRPr="003E5945" w:rsidR="001A6B17" w:rsidP="007C2D0C" w:rsidRDefault="001A6B17" w14:paraId="582205BD" w14:textId="77777777">
      <w:pPr>
        <w:jc w:val="both"/>
      </w:pPr>
    </w:p>
    <w:p w:rsidR="007B1EBB" w:rsidP="007C2D0C" w:rsidRDefault="001A6B17" w14:paraId="1D3500E9" w14:textId="27877FC9">
      <w:pPr>
        <w:pStyle w:val="Heading3"/>
        <w:jc w:val="both"/>
      </w:pPr>
      <w:bookmarkStart w:name="_Toc207357647" w:id="18"/>
      <w:r>
        <w:t>Formats de date uniformes</w:t>
      </w:r>
      <w:bookmarkEnd w:id="18"/>
      <w:r w:rsidR="007B1EBB">
        <w:t xml:space="preserve"> </w:t>
      </w:r>
    </w:p>
    <w:p w:rsidR="001A6B17" w:rsidP="007C2D0C" w:rsidRDefault="001A6B17" w14:paraId="417E80F2" w14:textId="31F14096">
      <w:pPr>
        <w:jc w:val="both"/>
      </w:pPr>
      <w:r>
        <w:t>Nous avons appliqué le format de date JJ/MM/AAAA dans tous les onglets de comptage de cycles, flux de travail et rapports.</w:t>
      </w:r>
    </w:p>
    <w:p w:rsidR="00020387" w:rsidP="007B1EBB" w:rsidRDefault="00020387" w14:paraId="0F478B7E" w14:textId="77777777"/>
    <w:p w:rsidR="00A440CE" w:rsidP="002448B3" w:rsidRDefault="001A6B17" w14:paraId="1C362095" w14:textId="61510C6C">
      <w:pPr>
        <w:pStyle w:val="Heading3"/>
      </w:pPr>
      <w:bookmarkStart w:name="_Toc207357648" w:id="19"/>
      <w:r>
        <w:t>Ne pas voir les produits inactifs pour le décompte des cycles</w:t>
      </w:r>
      <w:bookmarkEnd w:id="19"/>
    </w:p>
    <w:p w:rsidR="001A6B17" w:rsidP="00A440CE" w:rsidRDefault="001A6B17" w14:paraId="76847AAA" w14:textId="5090418D">
      <w:r>
        <w:t>Nous ne devrions pas effectuer de comptages cycliques pour les produits inactifs ; par conséquent, les produits inactifs ne seront plus visibles dans l'onglet TOUS LES PRODUITS.</w:t>
      </w:r>
    </w:p>
    <w:p w:rsidR="001A6B17" w:rsidP="00A440CE" w:rsidRDefault="001A6B17" w14:paraId="492FA3FA" w14:textId="77777777"/>
    <w:p w:rsidR="005B209D" w:rsidP="002448B3" w:rsidRDefault="008B4D8D" w14:paraId="43BB6552" w14:textId="4180FD7E">
      <w:pPr>
        <w:pStyle w:val="Heading3"/>
      </w:pPr>
      <w:bookmarkStart w:name="_Toc207357649" w:id="20"/>
      <w:r>
        <w:t>Impossible d'accéder au comptage des cycles à partir d'un autre emplacement</w:t>
      </w:r>
      <w:bookmarkEnd w:id="20"/>
      <w:r>
        <w:t xml:space="preserve"> </w:t>
      </w:r>
    </w:p>
    <w:p w:rsidRPr="007C2D0C" w:rsidR="001A6B17" w:rsidP="521FCCDF" w:rsidRDefault="001A6B17" w14:paraId="16D91415" w14:textId="07937989">
      <w:pPr>
        <w:jc w:val="both"/>
        <w:rPr>
          <w:i/>
          <w:iCs/>
          <w:lang w:val="fr-FR"/>
        </w:rPr>
      </w:pPr>
      <w:r w:rsidRPr="521FCCDF">
        <w:rPr>
          <w:i/>
          <w:iCs/>
          <w:lang w:val="fr-FR"/>
        </w:rPr>
        <w:t>Ceci s'applique aux utilisateurs ayant accès à plusieurs dépôts dans OpenBoxes.</w:t>
      </w:r>
    </w:p>
    <w:p w:rsidR="001A6B17" w:rsidP="007C2D0C" w:rsidRDefault="001A6B17" w14:paraId="66CF2100" w14:textId="3CB37B46">
      <w:pPr>
        <w:jc w:val="both"/>
      </w:pPr>
      <w:r>
        <w:t>Si un utilisateur change d'emplacement lors de l'exécution du comptage cyclique vers un emplacement différent, il ne peut pas continuer le flux de travail et doit revenir aux onglets du menu de comptage cyclique.</w:t>
      </w:r>
    </w:p>
    <w:p w:rsidR="00FC2896" w:rsidP="007C2D0C" w:rsidRDefault="008B4D8D" w14:paraId="3CDD4D86" w14:textId="77777777">
      <w:pPr>
        <w:jc w:val="both"/>
      </w:pPr>
      <w:r w:rsidRPr="521FCCDF">
        <w:rPr>
          <w:lang w:val="fr-FR"/>
        </w:rPr>
        <w:t>Cependant, OpenBoxes enregistrera toujours un brouillon du décompte au bon endroit !</w:t>
      </w:r>
    </w:p>
    <w:p w:rsidR="008B4D8D" w:rsidP="008B4D8D" w:rsidRDefault="008B4D8D" w14:paraId="26565F19" w14:textId="227229DE"/>
    <w:p w:rsidR="000C55CE" w:rsidP="000C55CE" w:rsidRDefault="000C55CE" w14:paraId="70BBD68C" w14:textId="77777777">
      <w:pPr>
        <w:pStyle w:val="Heading3"/>
      </w:pPr>
      <w:bookmarkStart w:name="_Toc207357650" w:id="21"/>
      <w:r>
        <w:t>Désigner une personne et une date limite pour un décompte et un recomptage</w:t>
      </w:r>
      <w:bookmarkEnd w:id="21"/>
      <w:r>
        <w:t xml:space="preserve"> </w:t>
      </w:r>
    </w:p>
    <w:p w:rsidR="000C55CE" w:rsidP="000C55CE" w:rsidRDefault="000C55CE" w14:paraId="7122B71C" w14:textId="58C26A17">
      <w:pPr>
        <w:jc w:val="both"/>
      </w:pPr>
      <w:r w:rsidRPr="20579E56" w:rsidR="000C55CE">
        <w:rPr>
          <w:lang w:val="fr-FR"/>
        </w:rPr>
        <w:t xml:space="preserve">Pour les personnes chargées des inventaires cycliques en entrepôt, </w:t>
      </w:r>
      <w:r w:rsidRPr="20579E56" w:rsidR="000C55CE">
        <w:rPr>
          <w:lang w:val="fr-FR"/>
        </w:rPr>
        <w:t>OpenBoxes</w:t>
      </w:r>
      <w:r w:rsidRPr="20579E56" w:rsidR="000C55CE">
        <w:rPr>
          <w:lang w:val="fr-FR"/>
        </w:rPr>
        <w:t xml:space="preserve"> permet désormais d'assigner des produits à compter à des membres spécifiques de l'équipe, avec une échéance. Cette affectation est disponible pour les onglets « À COMPTER » et « À R</w:t>
      </w:r>
      <w:r w:rsidRPr="20579E56" w:rsidR="208D559F">
        <w:rPr>
          <w:lang w:val="fr-FR"/>
        </w:rPr>
        <w:t>ESOUDRE</w:t>
      </w:r>
      <w:r w:rsidRPr="20579E56" w:rsidR="000C55CE">
        <w:rPr>
          <w:lang w:val="fr-FR"/>
        </w:rPr>
        <w:t> ».</w:t>
      </w:r>
    </w:p>
    <w:p w:rsidR="000C55CE" w:rsidP="000C55CE" w:rsidRDefault="000C55CE" w14:paraId="5BD7AFEC" w14:textId="77777777">
      <w:pPr>
        <w:keepNext/>
        <w:jc w:val="center"/>
      </w:pPr>
      <w:r w:rsidRPr="00CC60DB">
        <w:rPr>
          <w:noProof/>
          <w:lang w:val="en-US"/>
        </w:rPr>
        <w:drawing>
          <wp:inline distT="0" distB="0" distL="0" distR="0" wp14:anchorId="14C8BEC8" wp14:editId="744BBDD1">
            <wp:extent cx="4645921" cy="173874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3385" cy="1763994"/>
                    </a:xfrm>
                    <a:prstGeom prst="rect">
                      <a:avLst/>
                    </a:prstGeom>
                  </pic:spPr>
                </pic:pic>
              </a:graphicData>
            </a:graphic>
          </wp:inline>
        </w:drawing>
      </w:r>
    </w:p>
    <w:p w:rsidR="000C55CE" w:rsidP="000C55CE" w:rsidRDefault="000C55CE" w14:paraId="7C84C939" w14:textId="5E824027">
      <w:pPr>
        <w:pStyle w:val="Caption"/>
        <w:jc w:val="center"/>
      </w:pPr>
      <w:r w:rsidR="55307A2E">
        <w:rPr/>
        <w:t>Modal d’a</w:t>
      </w:r>
      <w:r w:rsidR="000C55CE">
        <w:rPr/>
        <w:t>ffectation dans l'onglet À RE</w:t>
      </w:r>
      <w:r w:rsidR="22D8F186">
        <w:rPr/>
        <w:t>SOUDRE</w:t>
      </w:r>
    </w:p>
    <w:p w:rsidRPr="000E5451" w:rsidR="000C55CE" w:rsidP="000C55CE" w:rsidRDefault="000C55CE" w14:paraId="0D287D68" w14:textId="77777777"/>
    <w:p w:rsidRPr="000E5451" w:rsidR="000C55CE" w:rsidP="000C55CE" w:rsidRDefault="000C55CE" w14:paraId="655FAF42" w14:textId="77777777">
      <w:r>
        <w:t>Pour voir le nombre de personnes affectées, utilisez simplement le filtre Personne affectée.</w:t>
      </w:r>
    </w:p>
    <w:p w:rsidR="000C55CE" w:rsidP="000C55CE" w:rsidRDefault="000C55CE" w14:paraId="22D364D3" w14:textId="77777777">
      <w:pPr>
        <w:keepNext/>
        <w:jc w:val="center"/>
      </w:pPr>
      <w:r w:rsidRPr="00CC60DB">
        <w:rPr>
          <w:noProof/>
          <w:lang w:val="en-US"/>
        </w:rPr>
        <w:drawing>
          <wp:inline distT="0" distB="0" distL="0" distR="0" wp14:anchorId="18BDFFDA" wp14:editId="4C0D0AA9">
            <wp:extent cx="5271655" cy="1579807"/>
            <wp:effectExtent l="0" t="0" r="571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2704" cy="1583118"/>
                    </a:xfrm>
                    <a:prstGeom prst="rect">
                      <a:avLst/>
                    </a:prstGeom>
                  </pic:spPr>
                </pic:pic>
              </a:graphicData>
            </a:graphic>
          </wp:inline>
        </w:drawing>
      </w:r>
    </w:p>
    <w:p w:rsidR="000C55CE" w:rsidP="000C55CE" w:rsidRDefault="000C55CE" w14:paraId="22CFB112" w14:textId="465DDDD8">
      <w:pPr>
        <w:pStyle w:val="Caption"/>
        <w:jc w:val="center"/>
      </w:pPr>
      <w:r w:rsidR="000C55CE">
        <w:rPr/>
        <w:t xml:space="preserve">Filtre de </w:t>
      </w:r>
      <w:r w:rsidR="390ED1F6">
        <w:rPr/>
        <w:t>désigné</w:t>
      </w:r>
      <w:r w:rsidR="000C55CE">
        <w:rPr/>
        <w:t xml:space="preserve"> dans l'onglet À COMPTER</w:t>
      </w:r>
    </w:p>
    <w:p w:rsidRPr="008B4D8D" w:rsidR="000C55CE" w:rsidP="008B4D8D" w:rsidRDefault="000C55CE" w14:paraId="10BCDFE6" w14:textId="77777777"/>
    <w:p w:rsidR="002448B3" w:rsidP="002448B3" w:rsidRDefault="002448B3" w14:paraId="18BAAB1C" w14:textId="10F3DCE2">
      <w:pPr>
        <w:pStyle w:val="Heading3"/>
      </w:pPr>
      <w:bookmarkStart w:name="_Toc207357651" w:id="22"/>
      <w:r>
        <w:t>Voir les zones dans les onglets de comptage cyclique et les flux de travail</w:t>
      </w:r>
      <w:bookmarkEnd w:id="22"/>
      <w:r w:rsidR="00354565">
        <w:t xml:space="preserve"> </w:t>
      </w:r>
    </w:p>
    <w:p w:rsidR="00FC2896" w:rsidP="00E62C40" w:rsidRDefault="00FC2896" w14:paraId="17863EC2" w14:textId="20CD62C7">
      <w:pPr>
        <w:jc w:val="both"/>
      </w:pPr>
      <w:r w:rsidR="00FC2896">
        <w:rPr/>
        <w:t>Les zones sont des identifiants d'emplacement importants et extrêmement utiles pour localiser physiquement les produits. C'est pourquoi le filtre « Emplacement de</w:t>
      </w:r>
      <w:r w:rsidR="38D0104A">
        <w:rPr/>
        <w:t xml:space="preserve"> bac</w:t>
      </w:r>
      <w:r w:rsidR="00FC2896">
        <w:rPr/>
        <w:t> » et les colonnes « Emplacement de</w:t>
      </w:r>
      <w:r w:rsidR="09D7538B">
        <w:rPr/>
        <w:t xml:space="preserve"> bac</w:t>
      </w:r>
      <w:r w:rsidR="00FC2896">
        <w:rPr/>
        <w:t> » des onglets « Inventaire tournant » affichent désormais les zones avec les emplacements de</w:t>
      </w:r>
      <w:r w:rsidR="69A97E5C">
        <w:rPr/>
        <w:t xml:space="preserve"> bac</w:t>
      </w:r>
      <w:r w:rsidR="00FC2896">
        <w:rPr/>
        <w:t>. Le format des colonnes « Emplacement de</w:t>
      </w:r>
      <w:r w:rsidR="4C2D49B4">
        <w:rPr/>
        <w:t xml:space="preserve"> bac</w:t>
      </w:r>
      <w:r w:rsidR="00FC2896">
        <w:rPr/>
        <w:t> » est « Zone : Emplacement de</w:t>
      </w:r>
      <w:r w:rsidR="6FC73667">
        <w:rPr/>
        <w:t xml:space="preserve"> bac</w:t>
      </w:r>
      <w:r w:rsidR="00FC2896">
        <w:rPr/>
        <w:t> », par exemple : « SALLE 1 – AILE DROITE (Zone) : Section 1 (EMPLACEMENT DE</w:t>
      </w:r>
      <w:r w:rsidR="3CFEC15A">
        <w:rPr/>
        <w:t xml:space="preserve"> BAC</w:t>
      </w:r>
      <w:r w:rsidR="00FC2896">
        <w:rPr/>
        <w:t>) ».</w:t>
      </w:r>
    </w:p>
    <w:p w:rsidR="00FC2896" w:rsidP="00FC2896" w:rsidRDefault="00354565" w14:paraId="790C6C86" w14:textId="159E709A">
      <w:pPr>
        <w:keepNext/>
      </w:pPr>
      <w:bookmarkStart w:name="_Toc207030152" w:id="23"/>
      <w:r w:rsidRPr="00354565">
        <w:rPr>
          <w:noProof/>
          <w:lang w:val="en-US"/>
        </w:rPr>
        <w:drawing>
          <wp:inline distT="0" distB="0" distL="0" distR="0" wp14:anchorId="14222036" wp14:editId="3F1DCA9D">
            <wp:extent cx="2184400" cy="1612568"/>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4362" cy="1642069"/>
                    </a:xfrm>
                    <a:prstGeom prst="rect">
                      <a:avLst/>
                    </a:prstGeom>
                  </pic:spPr>
                </pic:pic>
              </a:graphicData>
            </a:graphic>
          </wp:inline>
        </w:drawing>
      </w:r>
      <w:r w:rsidR="00FC2896">
        <w:t xml:space="preserve">             </w:t>
      </w:r>
      <w:r w:rsidRPr="00354565">
        <w:rPr>
          <w:noProof/>
        </w:rPr>
        <w:t xml:space="preserve"> </w:t>
      </w:r>
      <w:r w:rsidRPr="00354565">
        <w:rPr>
          <w:noProof/>
          <w:lang w:val="en-US"/>
        </w:rPr>
        <w:drawing>
          <wp:inline distT="0" distB="0" distL="0" distR="0" wp14:anchorId="06430588" wp14:editId="58374AA0">
            <wp:extent cx="3247153" cy="96795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3876" cy="984865"/>
                    </a:xfrm>
                    <a:prstGeom prst="rect">
                      <a:avLst/>
                    </a:prstGeom>
                  </pic:spPr>
                </pic:pic>
              </a:graphicData>
            </a:graphic>
          </wp:inline>
        </w:drawing>
      </w:r>
      <w:bookmarkEnd w:id="23"/>
    </w:p>
    <w:p w:rsidRPr="00FC2896" w:rsidR="00FC2896" w:rsidP="00FC2896" w:rsidRDefault="00FC2896" w14:paraId="38E06B92" w14:textId="5C36B1EB">
      <w:pPr>
        <w:ind w:firstLine="720"/>
        <w:rPr>
          <w:i/>
          <w:iCs/>
          <w:color w:val="44546A" w:themeColor="text2"/>
          <w:sz w:val="18"/>
          <w:szCs w:val="18"/>
        </w:rPr>
      </w:pPr>
      <w:r w:rsidRPr="00FC2896">
        <w:rPr>
          <w:i/>
          <w:iCs/>
          <w:color w:val="44546A" w:themeColor="text2"/>
          <w:sz w:val="18"/>
          <w:szCs w:val="18"/>
        </w:rPr>
        <w:t xml:space="preserve">Filtre d'emplacement de bac classé par zones </w:t>
      </w:r>
      <w:r>
        <w:rPr>
          <w:i/>
          <w:iCs/>
          <w:color w:val="44546A" w:themeColor="text2"/>
          <w:sz w:val="18"/>
          <w:szCs w:val="18"/>
        </w:rPr>
        <w:tab/>
      </w:r>
      <w:r>
        <w:rPr>
          <w:i/>
          <w:iCs/>
          <w:color w:val="44546A" w:themeColor="text2"/>
          <w:sz w:val="18"/>
          <w:szCs w:val="18"/>
        </w:rPr>
        <w:tab/>
      </w:r>
      <w:r>
        <w:rPr>
          <w:i/>
          <w:iCs/>
          <w:color w:val="44546A" w:themeColor="text2"/>
          <w:sz w:val="18"/>
          <w:szCs w:val="18"/>
        </w:rPr>
        <w:tab/>
      </w:r>
      <w:r>
        <w:rPr>
          <w:i/>
          <w:iCs/>
          <w:color w:val="44546A" w:themeColor="text2"/>
          <w:sz w:val="18"/>
          <w:szCs w:val="18"/>
        </w:rPr>
        <w:tab/>
      </w:r>
      <w:r w:rsidRPr="00FC2896">
        <w:rPr>
          <w:i/>
          <w:iCs/>
          <w:color w:val="44546A" w:themeColor="text2"/>
          <w:sz w:val="18"/>
          <w:szCs w:val="18"/>
        </w:rPr>
        <w:t>Info-bulle avec zone et emplacement de bac</w:t>
      </w:r>
    </w:p>
    <w:p w:rsidR="00354565" w:rsidP="00354565" w:rsidRDefault="00354565" w14:paraId="1CAC231E" w14:textId="12CBF451"/>
    <w:p w:rsidR="00FC2896" w:rsidP="00E62C40" w:rsidRDefault="00FC2896" w14:paraId="748F70B5" w14:textId="0303C6C7">
      <w:pPr>
        <w:jc w:val="both"/>
      </w:pPr>
      <w:r>
        <w:t>Les mêmes modifications seront appliquées aux flux de travail de comptage cyclique « Zone : Emplacement du bac ».</w:t>
      </w:r>
    </w:p>
    <w:p w:rsidR="00FC2896" w:rsidP="00E62C40" w:rsidRDefault="00354565" w14:paraId="23474400" w14:textId="77777777">
      <w:pPr>
        <w:keepNext/>
        <w:jc w:val="center"/>
      </w:pPr>
      <w:r w:rsidRPr="00354565">
        <w:rPr>
          <w:noProof/>
          <w:lang w:val="en-US"/>
        </w:rPr>
        <w:drawing>
          <wp:inline distT="0" distB="0" distL="0" distR="0" wp14:anchorId="5F9D8B6F" wp14:editId="5D2C480D">
            <wp:extent cx="2892953" cy="1422893"/>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5134" cy="1433803"/>
                    </a:xfrm>
                    <a:prstGeom prst="rect">
                      <a:avLst/>
                    </a:prstGeom>
                  </pic:spPr>
                </pic:pic>
              </a:graphicData>
            </a:graphic>
          </wp:inline>
        </w:drawing>
      </w:r>
    </w:p>
    <w:p w:rsidR="00354565" w:rsidP="00E62C40" w:rsidRDefault="00FC2896" w14:paraId="03ABAD87" w14:textId="4E2F185E">
      <w:pPr>
        <w:pStyle w:val="Caption"/>
        <w:jc w:val="center"/>
      </w:pPr>
      <w:r>
        <w:t>Emplacement du bac avec zone dans le flux de travail de comptage cyclique</w:t>
      </w:r>
    </w:p>
    <w:p w:rsidRPr="00E62C40" w:rsidR="00E62C40" w:rsidP="00E62C40" w:rsidRDefault="00E62C40" w14:paraId="7FC69C72" w14:textId="77777777"/>
    <w:p w:rsidR="00FC2896" w:rsidP="00E62C40" w:rsidRDefault="00FC2896" w14:paraId="467A2988" w14:textId="02037594">
      <w:pPr>
        <w:pStyle w:val="Heading3"/>
        <w:jc w:val="both"/>
      </w:pPr>
      <w:bookmarkStart w:name="_Toc207357652" w:id="24"/>
      <w:r>
        <w:t>Vérifiez si les produits sont déjà en cours de comptage/résolution</w:t>
      </w:r>
      <w:bookmarkEnd w:id="24"/>
    </w:p>
    <w:p w:rsidR="00CB4EC1" w:rsidP="00E62C40" w:rsidRDefault="00FC2896" w14:paraId="3FEB5D21" w14:textId="6FDB612B">
      <w:pPr>
        <w:jc w:val="both"/>
      </w:pPr>
      <w:r>
        <w:t>L'onglet « TOUS LES PRODUITS » affiche tous les produits en stock à compter, même ceux que les utilisateurs ont déjà sélectionnés. Cela peut prêter à confusion.</w:t>
      </w:r>
    </w:p>
    <w:p w:rsidR="00FC2896" w:rsidP="00E62C40" w:rsidRDefault="00FC2896" w14:paraId="397678E1" w14:textId="044A4C4D">
      <w:pPr>
        <w:jc w:val="both"/>
      </w:pPr>
      <w:r w:rsidR="00FC2896">
        <w:rPr/>
        <w:t xml:space="preserve">Afin de faciliter l'identification des produits déjà </w:t>
      </w:r>
      <w:r w:rsidR="364F8FD5">
        <w:rPr/>
        <w:t>avancés</w:t>
      </w:r>
      <w:r w:rsidR="00FC2896">
        <w:rPr/>
        <w:t xml:space="preserve"> dans le processus d'inventaire tournant, ces produits sont désormais grisés dans l'onglet « TOUS LES PRODUITS ». Bien que visibles, les utilisateurs ne peuvent effectuer aucune action sur ces produits dans cet onglet.</w:t>
      </w:r>
    </w:p>
    <w:p w:rsidR="00FC2896" w:rsidP="00FC2896" w:rsidRDefault="00C908D8" w14:paraId="7F66CEA1" w14:textId="6B7B00A3">
      <w:pPr>
        <w:keepNext/>
      </w:pPr>
      <w:r w:rsidRPr="00C908D8">
        <w:rPr>
          <w:noProof/>
          <w:lang w:val="en-US"/>
        </w:rPr>
        <w:drawing>
          <wp:inline distT="0" distB="0" distL="0" distR="0" wp14:anchorId="0493032E" wp14:editId="22FCCD9A">
            <wp:extent cx="6229445" cy="2006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7436" cy="2009174"/>
                    </a:xfrm>
                    <a:prstGeom prst="rect">
                      <a:avLst/>
                    </a:prstGeom>
                  </pic:spPr>
                </pic:pic>
              </a:graphicData>
            </a:graphic>
          </wp:inline>
        </w:drawing>
      </w:r>
    </w:p>
    <w:p w:rsidR="00C908D8" w:rsidP="006000ED" w:rsidRDefault="00FC2896" w14:paraId="21568619" w14:textId="13933B22">
      <w:pPr>
        <w:pStyle w:val="Caption"/>
        <w:jc w:val="center"/>
      </w:pPr>
      <w:r>
        <w:t>Ligne grisée avec un message indiquant « Le comptage a commencé sur le produit, recherchez le produit dans l'onglet À compter »</w:t>
      </w:r>
    </w:p>
    <w:p w:rsidR="006000ED" w:rsidP="00D93D23" w:rsidRDefault="00FC2896" w14:paraId="1F6A0FD1" w14:textId="77777777">
      <w:pPr>
        <w:jc w:val="both"/>
      </w:pPr>
      <w:r>
        <w:t>Dans la capture d'écran ci-dessus, vous pouvez voir que la ligne du deuxième produit, 24993, est grise.</w:t>
      </w:r>
    </w:p>
    <w:p w:rsidRPr="006000ED" w:rsidR="00FC2896" w:rsidP="00D93D23" w:rsidRDefault="00FC2896" w14:paraId="6A1ED390" w14:textId="159C11F8">
      <w:pPr>
        <w:jc w:val="both"/>
        <w:rPr>
          <w:i/>
        </w:rPr>
      </w:pPr>
      <w:r>
        <w:t xml:space="preserve">Sur le côté droit, un message apparaît : </w:t>
      </w:r>
      <w:r w:rsidRPr="006000ED">
        <w:rPr>
          <w:i/>
        </w:rPr>
        <w:t>« Le comptage a commencé sur le produit, recherchez le produit dans l'onglet À compter. »</w:t>
      </w:r>
    </w:p>
    <w:p w:rsidRPr="00C908D8" w:rsidR="00C908D8" w:rsidP="00C908D8" w:rsidRDefault="00C908D8" w14:paraId="3E23D85C" w14:textId="77777777"/>
    <w:p w:rsidR="00354565" w:rsidP="002448B3" w:rsidRDefault="00FC2896" w14:paraId="7CA06075" w14:textId="494BCA34">
      <w:pPr>
        <w:pStyle w:val="Heading3"/>
      </w:pPr>
      <w:bookmarkStart w:name="_Toc207357653" w:id="25"/>
      <w:r>
        <w:t>Impossible de compter les produits sélectionnés pour une expédition sortante en attente</w:t>
      </w:r>
      <w:bookmarkEnd w:id="25"/>
    </w:p>
    <w:p w:rsidR="004B35A2" w:rsidP="00D93D23" w:rsidRDefault="004B35A2" w14:paraId="3AC62D09" w14:textId="6051A9B3">
      <w:pPr>
        <w:jc w:val="both"/>
      </w:pPr>
      <w:r>
        <w:t>Effectuer un inventaire tournant sur un produit sélectionné pour une expédition sortante en attente peut s'avérer complexe, tant pour le système que pour l'équipe de l'entrepôt. Saisir la quantité exacte en stock peut s'avérer complexe, car la quantité sélectionnée peut se trouver à un emplacement différent de celui indiqué dans le système ou avoir déjà été sortie de l'entrepôt. C'est pourquoi seuls les produits non sélectionnés pour une expédition sortante en attente doivent être comptabilisés.</w:t>
      </w:r>
    </w:p>
    <w:p w:rsidR="004B35A2" w:rsidP="004B35A2" w:rsidRDefault="00A440CE" w14:paraId="7A66D8E8" w14:textId="77777777">
      <w:pPr>
        <w:keepNext/>
      </w:pPr>
      <w:r w:rsidRPr="00A440CE">
        <w:rPr>
          <w:noProof/>
          <w:lang w:val="en-US"/>
        </w:rPr>
        <w:drawing>
          <wp:inline distT="0" distB="0" distL="0" distR="0" wp14:anchorId="6C9E3257" wp14:editId="47FB0DD8">
            <wp:extent cx="5943600" cy="15208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520825"/>
                    </a:xfrm>
                    <a:prstGeom prst="rect">
                      <a:avLst/>
                    </a:prstGeom>
                  </pic:spPr>
                </pic:pic>
              </a:graphicData>
            </a:graphic>
          </wp:inline>
        </w:drawing>
      </w:r>
    </w:p>
    <w:p w:rsidRPr="00354565" w:rsidR="00A440CE" w:rsidP="004B35A2" w:rsidRDefault="004B35A2" w14:paraId="350E45E7" w14:textId="1B58D065">
      <w:pPr>
        <w:pStyle w:val="Caption"/>
        <w:jc w:val="center"/>
      </w:pPr>
      <w:r>
        <w:t>La ligne du produit 18328 est grisée car le produit est sélectionné pour une expédition sortante en attente</w:t>
      </w:r>
    </w:p>
    <w:p w:rsidR="004B35A2" w:rsidP="00D93D23" w:rsidRDefault="004B35A2" w14:paraId="545B61F5" w14:textId="4069FC14">
      <w:pPr>
        <w:jc w:val="both"/>
      </w:pPr>
      <w:r w:rsidRPr="521FCCDF">
        <w:rPr>
          <w:lang w:val="fr-FR"/>
        </w:rPr>
        <w:t xml:space="preserve">OpenBoxes peut désormais reconnaître, dans les onglets « Inventaire cyclique », si un produit est sélectionné pour une expédition sortante en attente. Si oui, les lignes des produits sont grisées </w:t>
      </w:r>
      <w:r w:rsidRPr="521FCCDF">
        <w:rPr>
          <w:lang w:val="fr-FR"/>
        </w:rPr>
        <w:t>dans les onglets « TOUS LES PRODUITS » et « À COMPTER » et ne peuvent pas être sélectionnées pour le comptage.</w:t>
      </w:r>
    </w:p>
    <w:p w:rsidR="004B35A2" w:rsidP="00D93D23" w:rsidRDefault="004B35A2" w14:paraId="0D5434F1" w14:textId="3CF8596B">
      <w:pPr>
        <w:jc w:val="both"/>
      </w:pPr>
      <w:r w:rsidRPr="521FCCDF">
        <w:rPr>
          <w:lang w:val="fr-FR"/>
        </w:rPr>
        <w:t>En revanche, si un utilisateur CHOISIT un produit et qu'il est déjà dans l'onglet À RÉSOUDRE du Cycle Count, vous pouvez continuer la résolution pour le produit, mais OpenBoxes affichera un message d'avertissement pour faire attention aux quantités.</w:t>
      </w:r>
    </w:p>
    <w:p w:rsidR="00292481" w:rsidP="00A440CE" w:rsidRDefault="00292481" w14:paraId="55A25CD8" w14:textId="6E19E96E">
      <w:pPr>
        <w:pStyle w:val="ListParagraph"/>
      </w:pPr>
    </w:p>
    <w:p w:rsidR="00C908D8" w:rsidP="00292481" w:rsidRDefault="00C908D8" w14:paraId="054A1F13" w14:textId="3DD78806">
      <w:pPr>
        <w:pStyle w:val="Heading3"/>
      </w:pPr>
      <w:bookmarkStart w:name="_Toc207357654" w:id="26"/>
      <w:r>
        <w:t>Trier les produits par ordre alphabétique dans les flux de travail de comptage et de recomptage</w:t>
      </w:r>
      <w:bookmarkEnd w:id="26"/>
      <w:r w:rsidR="001F429C">
        <w:t xml:space="preserve"> </w:t>
      </w:r>
    </w:p>
    <w:p w:rsidR="00C908D8" w:rsidP="009A7C9B" w:rsidRDefault="00C908D8" w14:paraId="7EE272A7" w14:textId="0574E570">
      <w:pPr>
        <w:jc w:val="both"/>
      </w:pPr>
      <w:r>
        <w:t>Pendant les flux de travail de comptage et de recomptage, vous pouvez désormais voir une option « Trier par ordre alphabétique » pour une navigation plus facile !</w:t>
      </w:r>
    </w:p>
    <w:p w:rsidR="004B35A2" w:rsidP="004B35A2" w:rsidRDefault="001F429C" w14:paraId="2A765CC8" w14:textId="77777777">
      <w:pPr>
        <w:keepNext/>
        <w:jc w:val="center"/>
      </w:pPr>
      <w:r w:rsidRPr="001F429C">
        <w:rPr>
          <w:noProof/>
          <w:lang w:val="en-US"/>
        </w:rPr>
        <w:drawing>
          <wp:inline distT="0" distB="0" distL="0" distR="0" wp14:anchorId="5B3BAC24" wp14:editId="0F4AEAD7">
            <wp:extent cx="5943600" cy="1513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513205"/>
                    </a:xfrm>
                    <a:prstGeom prst="rect">
                      <a:avLst/>
                    </a:prstGeom>
                  </pic:spPr>
                </pic:pic>
              </a:graphicData>
            </a:graphic>
          </wp:inline>
        </w:drawing>
      </w:r>
    </w:p>
    <w:p w:rsidR="001F429C" w:rsidP="004B35A2" w:rsidRDefault="004B35A2" w14:paraId="7092AE96" w14:textId="40F0E215">
      <w:pPr>
        <w:pStyle w:val="Caption"/>
        <w:jc w:val="center"/>
      </w:pPr>
      <w:r>
        <w:t>La nouvelle option « Trier par ordre alphabétique » dans les workflows de comptage cyclique</w:t>
      </w:r>
    </w:p>
    <w:p w:rsidRPr="00C908D8" w:rsidR="00C908D8" w:rsidP="00C908D8" w:rsidRDefault="00C908D8" w14:paraId="314071DC" w14:textId="741E0D1A"/>
    <w:p w:rsidR="00292481" w:rsidP="00292481" w:rsidRDefault="004B35A2" w14:paraId="731D1AF1" w14:textId="3F9DE472">
      <w:pPr>
        <w:pStyle w:val="Heading3"/>
      </w:pPr>
      <w:bookmarkStart w:name="_Toc207357655" w:id="27"/>
      <w:r>
        <w:t>Présentation de l'importation pour le flux de travail TO COUNT</w:t>
      </w:r>
      <w:bookmarkEnd w:id="27"/>
    </w:p>
    <w:p w:rsidR="004B35A2" w:rsidP="009A7C9B" w:rsidRDefault="004B35A2" w14:paraId="06018EB2" w14:textId="4667A913">
      <w:pPr>
        <w:jc w:val="both"/>
      </w:pPr>
      <w:r>
        <w:t>Les importations simplifient toujours la saisie de données ! Désormais, dans le flux de travail « TO COUNT », vous pouvez facilement saisir des informations dans la feuille Excel exportée et effectuer une importation rapide.</w:t>
      </w:r>
    </w:p>
    <w:p w:rsidR="006F1305" w:rsidP="009A7C9B" w:rsidRDefault="007B1EBB" w14:paraId="5F7FCA8C" w14:textId="148D24BA">
      <w:pPr>
        <w:jc w:val="both"/>
      </w:pPr>
      <w:r>
        <w:t>Le fichier exporté inclura toutes les données que vous avez déjà saisies sur la page.</w:t>
      </w:r>
    </w:p>
    <w:p w:rsidR="004B35A2" w:rsidP="004B35A2" w:rsidRDefault="006F1305" w14:paraId="487A7C12" w14:textId="77777777">
      <w:pPr>
        <w:keepNext/>
        <w:jc w:val="center"/>
      </w:pPr>
      <w:r w:rsidRPr="006F1305">
        <w:rPr>
          <w:noProof/>
          <w:lang w:val="en-US"/>
        </w:rPr>
        <w:drawing>
          <wp:inline distT="0" distB="0" distL="0" distR="0" wp14:anchorId="207E3B8D" wp14:editId="72D815F6">
            <wp:extent cx="5181600" cy="1579392"/>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7959" cy="1581330"/>
                    </a:xfrm>
                    <a:prstGeom prst="rect">
                      <a:avLst/>
                    </a:prstGeom>
                  </pic:spPr>
                </pic:pic>
              </a:graphicData>
            </a:graphic>
          </wp:inline>
        </w:drawing>
      </w:r>
    </w:p>
    <w:p w:rsidR="006F1305" w:rsidP="004B35A2" w:rsidRDefault="004B35A2" w14:paraId="230879E2" w14:textId="628060D3">
      <w:pPr>
        <w:pStyle w:val="Caption"/>
        <w:jc w:val="center"/>
      </w:pPr>
      <w:r>
        <w:t>Le nouveau bouton « Importer le nombre »</w:t>
      </w:r>
    </w:p>
    <w:p w:rsidRPr="006F1305" w:rsidR="006F1305" w:rsidP="006F1305" w:rsidRDefault="006F1305" w14:paraId="0689D96F" w14:textId="77777777"/>
    <w:p w:rsidR="005B209D" w:rsidP="005B209D" w:rsidRDefault="005B209D" w14:paraId="5A381E9E" w14:textId="6AEE5D06">
      <w:pPr>
        <w:pStyle w:val="Heading3"/>
      </w:pPr>
      <w:bookmarkStart w:name="_Toc207357656" w:id="28"/>
      <w:r>
        <w:t>Sélectionner les bacs de réception pendant le comptage cyclique</w:t>
      </w:r>
      <w:bookmarkEnd w:id="28"/>
      <w:r>
        <w:t xml:space="preserve"> </w:t>
      </w:r>
    </w:p>
    <w:p w:rsidR="000E5451" w:rsidP="00204FD4" w:rsidRDefault="000E5451" w14:paraId="7CCBD88F" w14:textId="6665E642">
      <w:pPr>
        <w:jc w:val="both"/>
      </w:pPr>
      <w:r w:rsidRPr="521FCCDF">
        <w:rPr>
          <w:lang w:val="fr-FR"/>
        </w:rPr>
        <w:t>Le format des bacs de réception (R-Shipment ID) dans OpenBoxes permet aux utilisateurs d'identifier facilement l'expédition dans laquelle l'article est arrivé. Il n'est donc pas surprenant qu'un utilisateur souhaite sélectionner un bac de réception pour une nouvelle ligne lors du processus d'inventaire tournant. C'est désormais possible !</w:t>
      </w:r>
    </w:p>
    <w:p w:rsidR="000E5451" w:rsidP="00204FD4" w:rsidRDefault="000E5451" w14:paraId="7501F947" w14:textId="5CE4D72D">
      <w:pPr>
        <w:jc w:val="both"/>
      </w:pPr>
      <w:r>
        <w:t>Vous trouverez les bacs de réception à la fin de la liste des emplacements des bacs.</w:t>
      </w:r>
    </w:p>
    <w:p w:rsidR="000E5451" w:rsidP="000E5451" w:rsidRDefault="005B209D" w14:paraId="2EC0EFDC" w14:textId="77777777">
      <w:pPr>
        <w:keepNext/>
        <w:jc w:val="center"/>
      </w:pPr>
      <w:r w:rsidRPr="005B209D">
        <w:rPr>
          <w:noProof/>
          <w:lang w:val="en-US"/>
        </w:rPr>
        <w:drawing>
          <wp:inline distT="0" distB="0" distL="0" distR="0" wp14:anchorId="136C1DFC" wp14:editId="2201FA71">
            <wp:extent cx="4770120" cy="17597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79549" cy="1763224"/>
                    </a:xfrm>
                    <a:prstGeom prst="rect">
                      <a:avLst/>
                    </a:prstGeom>
                  </pic:spPr>
                </pic:pic>
              </a:graphicData>
            </a:graphic>
          </wp:inline>
        </w:drawing>
      </w:r>
    </w:p>
    <w:p w:rsidRPr="005B209D" w:rsidR="005B209D" w:rsidP="000C55CE" w:rsidRDefault="000E5451" w14:paraId="626AD669" w14:textId="411128EE">
      <w:pPr>
        <w:pStyle w:val="Caption"/>
        <w:jc w:val="center"/>
      </w:pPr>
      <w:r>
        <w:t>Sélection des bacs de réception disponible pour les nouvelles lignes</w:t>
      </w:r>
    </w:p>
    <w:p w:rsidRPr="00CC60DB" w:rsidR="00CC60DB" w:rsidP="00CC60DB" w:rsidRDefault="00CC60DB" w14:paraId="373DDB96" w14:textId="55E52FE4">
      <w:pPr>
        <w:jc w:val="center"/>
      </w:pPr>
    </w:p>
    <w:p w:rsidR="002448B3" w:rsidP="002448B3" w:rsidRDefault="000E5451" w14:paraId="42355DFF" w14:textId="2E608E74">
      <w:pPr>
        <w:pStyle w:val="Heading3"/>
      </w:pPr>
      <w:bookmarkStart w:name="_Toc207357657" w:id="29"/>
      <w:r>
        <w:t>OB enregistre les brouillons pour le flux de travail RESOLVE</w:t>
      </w:r>
      <w:bookmarkEnd w:id="29"/>
    </w:p>
    <w:p w:rsidR="000E5451" w:rsidP="00204FD4" w:rsidRDefault="000E5451" w14:paraId="790DC09B" w14:textId="77777777">
      <w:pPr>
        <w:jc w:val="both"/>
      </w:pPr>
      <w:r w:rsidRPr="521FCCDF">
        <w:rPr>
          <w:lang w:val="fr-FR"/>
        </w:rPr>
        <w:t>Si vous corrigez des écarts lors d'un inventaire tournant et devez interrompre le processus pour une raison quelconque, OpenBoxes enregistre désormais un brouillon pour que vous puissiez le reprendre ultérieurement. Ce brouillon contient le lot de produits sur lequel vous travailliez.</w:t>
      </w:r>
    </w:p>
    <w:p w:rsidR="000E5451" w:rsidP="00204FD4" w:rsidRDefault="000E5451" w14:paraId="162820C6" w14:textId="05918343">
      <w:pPr>
        <w:jc w:val="both"/>
      </w:pPr>
      <w:r w:rsidR="000E5451">
        <w:rPr/>
        <w:t>Si vous choisissez de supprimer le brouillon, les informations que vous avez saisies pour chaque produit, telles que l</w:t>
      </w:r>
      <w:r w:rsidR="682FE504">
        <w:rPr/>
        <w:t>'origine de la différence</w:t>
      </w:r>
      <w:r w:rsidR="000E5451">
        <w:rPr/>
        <w:t xml:space="preserve"> et le commentaire, sont toujours enregistrées, mais le lot de produits est supprimé.</w:t>
      </w:r>
    </w:p>
    <w:p w:rsidR="00C17316" w:rsidP="00C17316" w:rsidRDefault="002448B3" w14:paraId="7B1A0AC4" w14:textId="77777777">
      <w:pPr>
        <w:keepNext/>
      </w:pPr>
      <w:r w:rsidRPr="002448B3">
        <w:rPr>
          <w:noProof/>
          <w:lang w:val="en-US"/>
        </w:rPr>
        <w:drawing>
          <wp:inline distT="0" distB="0" distL="0" distR="0" wp14:anchorId="0FE2AA05" wp14:editId="6EFE2705">
            <wp:extent cx="5943600" cy="1299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299210"/>
                    </a:xfrm>
                    <a:prstGeom prst="rect">
                      <a:avLst/>
                    </a:prstGeom>
                  </pic:spPr>
                </pic:pic>
              </a:graphicData>
            </a:graphic>
          </wp:inline>
        </w:drawing>
      </w:r>
    </w:p>
    <w:p w:rsidR="00C17316" w:rsidP="00997276" w:rsidRDefault="00C17316" w14:paraId="001C47E1" w14:textId="1AFFD150">
      <w:pPr>
        <w:pStyle w:val="Caption"/>
        <w:jc w:val="center"/>
      </w:pPr>
      <w:r>
        <w:t>Message demandant si l'utilisateur souhaite continuer à travailler sur le brouillon enregistré dans l'onglet À RÉSOUDRE</w:t>
      </w:r>
    </w:p>
    <w:p w:rsidRPr="00204FD4" w:rsidR="00204FD4" w:rsidP="00204FD4" w:rsidRDefault="00204FD4" w14:paraId="630D9944" w14:textId="77777777"/>
    <w:p w:rsidR="002448B3" w:rsidP="00997276" w:rsidRDefault="00A440CE" w14:paraId="51B05662" w14:textId="3CA03334">
      <w:pPr>
        <w:pStyle w:val="Heading3"/>
      </w:pPr>
      <w:bookmarkStart w:name="_Toc207357658" w:id="30"/>
      <w:r w:rsidR="00A440CE">
        <w:rPr/>
        <w:t>Message améliorée après le comptage des cycles</w:t>
      </w:r>
      <w:bookmarkEnd w:id="30"/>
      <w:r w:rsidR="005B209D">
        <w:rPr/>
        <w:t xml:space="preserve"> </w:t>
      </w:r>
    </w:p>
    <w:p w:rsidR="00C17316" w:rsidP="00AF513F" w:rsidRDefault="00C17316" w14:paraId="7C8C6D02" w14:textId="5325E1F1">
      <w:pPr>
        <w:jc w:val="both"/>
      </w:pPr>
      <w:r w:rsidRPr="521FCCDF">
        <w:rPr>
          <w:lang w:val="fr-FR"/>
        </w:rPr>
        <w:t>Pour une meilleure communication, OpenBoxes affichera désormais des messages de réussite après le cycle de comptage. Ce message indiquera le nombre de produits pour lesquels le cycle de comptage est terminé et ne nécessite pas de résolution d'écart.</w:t>
      </w:r>
    </w:p>
    <w:p w:rsidR="00A440CE" w:rsidP="00AF513F" w:rsidRDefault="00A440CE" w14:paraId="7A599939" w14:textId="3643C8C1">
      <w:pPr>
        <w:jc w:val="both"/>
      </w:pPr>
      <w:r>
        <w:t>De plus, si votre comptage a entraîné des divergences, OB vous redirigera automatiquement vers l'onglet À RÉSOUDRE.</w:t>
      </w:r>
    </w:p>
    <w:p w:rsidR="00C17316" w:rsidP="00C17316" w:rsidRDefault="005B209D" w14:paraId="4840A4AD" w14:textId="77777777">
      <w:pPr>
        <w:keepNext/>
        <w:jc w:val="center"/>
      </w:pPr>
      <w:r w:rsidRPr="005B209D">
        <w:rPr>
          <w:noProof/>
          <w:lang w:val="en-US"/>
        </w:rPr>
        <w:drawing>
          <wp:inline distT="0" distB="0" distL="0" distR="0" wp14:anchorId="6714C23E" wp14:editId="7FA49C3F">
            <wp:extent cx="2851958" cy="60985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0590" cy="611699"/>
                    </a:xfrm>
                    <a:prstGeom prst="rect">
                      <a:avLst/>
                    </a:prstGeom>
                  </pic:spPr>
                </pic:pic>
              </a:graphicData>
            </a:graphic>
          </wp:inline>
        </w:drawing>
      </w:r>
    </w:p>
    <w:p w:rsidR="002448B3" w:rsidP="00C17316" w:rsidRDefault="00C17316" w14:paraId="43AB4FC1" w14:textId="4D5EDAFC">
      <w:pPr>
        <w:pStyle w:val="Caption"/>
        <w:jc w:val="center"/>
      </w:pPr>
      <w:r>
        <w:t>Message de réussite après le comptage des cycles</w:t>
      </w:r>
    </w:p>
    <w:p w:rsidRPr="00997276" w:rsidR="00997276" w:rsidP="00997276" w:rsidRDefault="00997276" w14:paraId="4B03DB39" w14:textId="77777777"/>
    <w:p w:rsidR="008B4D8D" w:rsidP="008B4D8D" w:rsidRDefault="008B4D8D" w14:paraId="7B1607F1" w14:textId="77777777">
      <w:pPr>
        <w:pStyle w:val="Heading1"/>
        <w:jc w:val="both"/>
      </w:pPr>
      <w:bookmarkStart w:name="_Toc207357659" w:id="31"/>
      <w:r>
        <w:t>AMÉLIORATIONS</w:t>
      </w:r>
      <w:bookmarkEnd w:id="31"/>
    </w:p>
    <w:p w:rsidR="008B4D8D" w:rsidP="00E34143" w:rsidRDefault="00C17316" w14:paraId="131D23DC" w14:textId="3318B9CD">
      <w:r w:rsidR="00C17316">
        <w:rPr/>
        <w:t>Cette section concerne les améliorations apportées en dehors de la fonctionnalité de comptage</w:t>
      </w:r>
      <w:r w:rsidR="22107632">
        <w:rPr/>
        <w:t>s</w:t>
      </w:r>
      <w:r w:rsidR="00C17316">
        <w:rPr/>
        <w:t xml:space="preserve"> </w:t>
      </w:r>
      <w:r w:rsidR="6CFFE166">
        <w:rPr/>
        <w:t>cycliques</w:t>
      </w:r>
      <w:r w:rsidR="00C17316">
        <w:rPr/>
        <w:t>.</w:t>
      </w:r>
    </w:p>
    <w:p w:rsidR="00C17316" w:rsidP="00E34143" w:rsidRDefault="00C17316" w14:paraId="3EA62867" w14:textId="77777777"/>
    <w:p w:rsidR="00C17316" w:rsidP="00C17316" w:rsidRDefault="00C17316" w14:paraId="213B6C22" w14:textId="77777777">
      <w:pPr>
        <w:pStyle w:val="Heading2"/>
      </w:pPr>
      <w:bookmarkStart w:name="_Toc207357660" w:id="32"/>
      <w:r>
        <w:t>Exporter les résultats filtrés sur la page Liste des sources de produits</w:t>
      </w:r>
      <w:bookmarkEnd w:id="32"/>
    </w:p>
    <w:p w:rsidR="00C17316" w:rsidP="00AF513F" w:rsidRDefault="00C17316" w14:paraId="7FB0171C" w14:textId="3A1EEC87">
      <w:pPr>
        <w:jc w:val="both"/>
      </w:pPr>
      <w:r w:rsidRPr="521FCCDF">
        <w:rPr>
          <w:lang w:val="fr-FR"/>
        </w:rPr>
        <w:t xml:space="preserve">Comme demandé par l'équipe Boston Sourcing, les utilisateurs peuvent désormais exporter les résultats filtrés sur la </w:t>
      </w:r>
      <w:hyperlink r:id="rId39">
        <w:r w:rsidRPr="521FCCDF">
          <w:rPr>
            <w:rStyle w:val="Hyperlink"/>
            <w:lang w:val="fr-FR"/>
          </w:rPr>
          <w:t xml:space="preserve">page Liste des sources de produits </w:t>
        </w:r>
      </w:hyperlink>
      <w:r w:rsidRPr="521FCCDF">
        <w:rPr>
          <w:lang w:val="fr-FR"/>
        </w:rPr>
        <w:t>, ce qui facilite l'analyse et la recherche des données.</w:t>
      </w:r>
    </w:p>
    <w:p w:rsidR="00C17316" w:rsidP="00C17316" w:rsidRDefault="00C17316" w14:paraId="5B80D90D" w14:textId="77777777">
      <w:pPr>
        <w:keepNext/>
      </w:pPr>
      <w:r w:rsidRPr="00C97C40">
        <w:rPr>
          <w:noProof/>
          <w:lang w:val="en-US"/>
        </w:rPr>
        <w:drawing>
          <wp:inline distT="0" distB="0" distL="0" distR="0" wp14:anchorId="5F4CABD8" wp14:editId="1B6971D6">
            <wp:extent cx="5943600" cy="1734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734820"/>
                    </a:xfrm>
                    <a:prstGeom prst="rect">
                      <a:avLst/>
                    </a:prstGeom>
                  </pic:spPr>
                </pic:pic>
              </a:graphicData>
            </a:graphic>
          </wp:inline>
        </w:drawing>
      </w:r>
    </w:p>
    <w:p w:rsidR="00C17316" w:rsidP="00C17316" w:rsidRDefault="00C17316" w14:paraId="2173874F" w14:textId="723BFF1B">
      <w:pPr>
        <w:pStyle w:val="Caption"/>
        <w:jc w:val="center"/>
      </w:pPr>
      <w:r>
        <w:t>La nouvelle option d'exportation des résultats dans la page de liste des sources de produits</w:t>
      </w:r>
    </w:p>
    <w:p w:rsidR="00C17316" w:rsidP="00E34143" w:rsidRDefault="00C17316" w14:paraId="51F5B1EE" w14:textId="69A8980D"/>
    <w:p w:rsidR="00241898" w:rsidP="008B4D8D" w:rsidRDefault="00241898" w14:paraId="19CCA939" w14:textId="75FB08C9">
      <w:pPr>
        <w:pStyle w:val="Heading2"/>
      </w:pPr>
      <w:bookmarkStart w:name="_Toc207357661" w:id="33"/>
      <w:r>
        <w:t>Télécharger la liste de sélection triée par bacs</w:t>
      </w:r>
      <w:bookmarkEnd w:id="33"/>
    </w:p>
    <w:p w:rsidR="00171BF3" w:rsidP="00C37AA0" w:rsidRDefault="00171BF3" w14:paraId="348AA957" w14:textId="2E7E2897">
      <w:pPr>
        <w:jc w:val="both"/>
      </w:pPr>
      <w:r w:rsidRPr="521FCCDF">
        <w:rPr>
          <w:lang w:val="fr-FR"/>
        </w:rPr>
        <w:t xml:space="preserve">Comme suggéré par l'équipe Compañeros en Salud, nous avons créé une option supplémentaire pour télécharger une liste de sélection triée par bacs. Si vos bacs physiques sont classés par ordre alphabétique ou numérique, cette liste facilitera le prélèvement des articles en rayon. Par </w:t>
      </w:r>
      <w:r w:rsidRPr="521FCCDF">
        <w:rPr>
          <w:lang w:val="fr-FR"/>
        </w:rPr>
        <w:t>exemple, si les bacs ABC 1 sont adjacents à ABC 2, puis suivis de ABC 3, la liste affichera les articles dans cet ordre pour faciliter le prélèvement.</w:t>
      </w:r>
    </w:p>
    <w:p w:rsidR="00237CA5" w:rsidP="00237CA5" w:rsidRDefault="00237CA5" w14:paraId="6545B607" w14:textId="77777777">
      <w:pPr>
        <w:keepNext/>
        <w:jc w:val="center"/>
      </w:pPr>
      <w:r w:rsidRPr="00237CA5">
        <w:rPr>
          <w:noProof/>
          <w:lang w:val="en-US"/>
        </w:rPr>
        <w:drawing>
          <wp:inline distT="0" distB="0" distL="0" distR="0" wp14:anchorId="6C40E3E2" wp14:editId="1073590E">
            <wp:extent cx="2484335" cy="1036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84335" cy="1036410"/>
                    </a:xfrm>
                    <a:prstGeom prst="rect">
                      <a:avLst/>
                    </a:prstGeom>
                  </pic:spPr>
                </pic:pic>
              </a:graphicData>
            </a:graphic>
          </wp:inline>
        </w:drawing>
      </w:r>
    </w:p>
    <w:p w:rsidR="00237CA5" w:rsidP="00237CA5" w:rsidRDefault="00237CA5" w14:paraId="276913C5" w14:textId="082D253A">
      <w:pPr>
        <w:pStyle w:val="Caption"/>
        <w:jc w:val="center"/>
      </w:pPr>
      <w:r>
        <w:t>Nouvelle option de liste de sélection d'impression (triée par bacs)</w:t>
      </w:r>
    </w:p>
    <w:p w:rsidR="00171BF3" w:rsidP="00237CA5" w:rsidRDefault="00171BF3" w14:paraId="7DFEDB48" w14:textId="03F6A125">
      <w:pPr>
        <w:keepNext/>
        <w:spacing w:before="240"/>
        <w:jc w:val="center"/>
      </w:pPr>
      <w:r w:rsidRPr="00171BF3">
        <w:rPr>
          <w:noProof/>
          <w:lang w:val="en-US"/>
        </w:rPr>
        <w:drawing>
          <wp:inline distT="0" distB="0" distL="0" distR="0" wp14:anchorId="37C4FDA4" wp14:editId="6FBC603E">
            <wp:extent cx="3701476" cy="258233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15039" cy="2591796"/>
                    </a:xfrm>
                    <a:prstGeom prst="rect">
                      <a:avLst/>
                    </a:prstGeom>
                  </pic:spPr>
                </pic:pic>
              </a:graphicData>
            </a:graphic>
          </wp:inline>
        </w:drawing>
      </w:r>
    </w:p>
    <w:p w:rsidR="00241898" w:rsidP="00237CA5" w:rsidRDefault="00171BF3" w14:paraId="3A8CFC82" w14:textId="1B3C8027">
      <w:pPr>
        <w:pStyle w:val="Caption"/>
        <w:jc w:val="center"/>
      </w:pPr>
      <w:r>
        <w:t>Liste de sélection triée par emplacements de bacs</w:t>
      </w:r>
    </w:p>
    <w:p w:rsidRPr="00666625" w:rsidR="00666625" w:rsidP="00666625" w:rsidRDefault="00666625" w14:paraId="7B0D0785" w14:textId="77777777"/>
    <w:p w:rsidR="008B4D8D" w:rsidP="008B4D8D" w:rsidRDefault="00C17316" w14:paraId="6383AE62" w14:textId="649201B2">
      <w:pPr>
        <w:pStyle w:val="Heading2"/>
      </w:pPr>
      <w:bookmarkStart w:name="_Toc207357662" w:id="34"/>
      <w:r w:rsidR="00C17316">
        <w:rPr/>
        <w:t>Note de livraison : Affichage amélioré des niveaux d</w:t>
      </w:r>
      <w:r w:rsidR="33149B3D">
        <w:rPr/>
        <w:t>'emballage</w:t>
      </w:r>
      <w:r w:rsidR="00C17316">
        <w:rPr/>
        <w:t xml:space="preserve"> séparés</w:t>
      </w:r>
      <w:bookmarkEnd w:id="34"/>
    </w:p>
    <w:p w:rsidR="00C17316" w:rsidP="00F52B7D" w:rsidRDefault="00C17316" w14:paraId="7DA515D6" w14:textId="642A4A30">
      <w:pPr>
        <w:jc w:val="both"/>
      </w:pPr>
      <w:r w:rsidRPr="521FCCDF">
        <w:rPr>
          <w:lang w:val="fr-FR"/>
        </w:rPr>
        <w:t>L'équipe de Compañeros en Salud a constaté que l'affichage des différents niveaux d'emballage pour un même produit sur le bon de livraison prêtait à confusion. Les nouvelles modifications apportées au bon de livraison indiqueront désormais clairement la quantité de produits dans les différents emballages. Cela simplifie l'expédition et la manutention des colis !</w:t>
      </w:r>
    </w:p>
    <w:p w:rsidRPr="00C17316" w:rsidR="00235FBE" w:rsidP="008B4D8D" w:rsidRDefault="00235FBE" w14:paraId="70A9B858" w14:textId="10297B1E">
      <w:pPr>
        <w:rPr>
          <w:rStyle w:val="SubtleReference"/>
        </w:rPr>
      </w:pPr>
      <w:r w:rsidRPr="00C17316">
        <w:rPr>
          <w:rStyle w:val="SubtleReference"/>
        </w:rPr>
        <w:t xml:space="preserve">Remarque : ceci s’applique uniquement aux dépôts qui ont </w:t>
      </w:r>
      <w:r w:rsidRPr="00C17316" w:rsidR="00C17316">
        <w:rPr>
          <w:rStyle w:val="SubtleReference"/>
        </w:rPr>
        <w:t>la fonction « Pack » activée.</w:t>
      </w:r>
    </w:p>
    <w:p w:rsidR="00C17316" w:rsidP="00C17316" w:rsidRDefault="00235FBE" w14:paraId="7573DAA9" w14:textId="77777777">
      <w:pPr>
        <w:keepNext/>
        <w:jc w:val="center"/>
      </w:pPr>
      <w:r w:rsidRPr="00235FBE">
        <w:rPr>
          <w:noProof/>
          <w:lang w:val="en-US"/>
        </w:rPr>
        <w:drawing>
          <wp:inline distT="0" distB="0" distL="0" distR="0" wp14:anchorId="25C66393" wp14:editId="4AE617BE">
            <wp:extent cx="5943600" cy="1025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025525"/>
                    </a:xfrm>
                    <a:prstGeom prst="rect">
                      <a:avLst/>
                    </a:prstGeom>
                  </pic:spPr>
                </pic:pic>
              </a:graphicData>
            </a:graphic>
          </wp:inline>
        </w:drawing>
      </w:r>
    </w:p>
    <w:p w:rsidR="008B4D8D" w:rsidP="00C17316" w:rsidRDefault="00C17316" w14:paraId="2D4E874A" w14:textId="113C255D">
      <w:pPr>
        <w:pStyle w:val="Caption"/>
        <w:jc w:val="center"/>
      </w:pPr>
      <w:r>
        <w:t>Bon de livraison avec quantités fractionnées pour différents niveaux d'emballage pour un même produit</w:t>
      </w:r>
    </w:p>
    <w:p w:rsidRPr="00C17316" w:rsidR="00C17316" w:rsidP="00C17316" w:rsidRDefault="00C17316" w14:paraId="4B722A37" w14:textId="77777777"/>
    <w:p w:rsidR="00F52B7D" w:rsidP="00CC60DB" w:rsidRDefault="00F52B7D" w14:paraId="47FC17F3" w14:textId="60A8BF61">
      <w:pPr>
        <w:pStyle w:val="Heading2"/>
      </w:pPr>
      <w:bookmarkStart w:name="_Toc207357663" w:id="35"/>
      <w:r>
        <w:t>Note de réception des marchandises : noms des produits emballés</w:t>
      </w:r>
      <w:bookmarkEnd w:id="35"/>
    </w:p>
    <w:p w:rsidR="00F52B7D" w:rsidP="00682F86" w:rsidRDefault="00F52B7D" w14:paraId="44C2D031" w14:textId="7CE7D52E">
      <w:pPr>
        <w:jc w:val="both"/>
      </w:pPr>
      <w:r>
        <w:t>L’équipe de Sierra Leone l’a demandé.</w:t>
      </w:r>
    </w:p>
    <w:p w:rsidR="00F52B7D" w:rsidP="00682F86" w:rsidRDefault="00F52B7D" w14:paraId="52B2FCF1" w14:textId="64524E4B">
      <w:pPr>
        <w:jc w:val="both"/>
      </w:pPr>
      <w:r>
        <w:t>Les noms de produits figurant sur le bon de réception de marchandises seront désormais affichés en entier, ce qui permettra de les rendre visibles dans leur intégralité. Ceci est particulièrement utile pour les équipements et accessoires biomédicaux.</w:t>
      </w:r>
    </w:p>
    <w:p w:rsidR="00F52B7D" w:rsidP="00F52B7D" w:rsidRDefault="00F52B7D" w14:paraId="4598C088" w14:textId="52B036D4">
      <w:pPr>
        <w:keepNext/>
        <w:jc w:val="center"/>
      </w:pPr>
      <w:r w:rsidRPr="00F52B7D">
        <w:rPr>
          <w:noProof/>
          <w:lang w:val="en-US"/>
        </w:rPr>
        <w:drawing>
          <wp:inline distT="0" distB="0" distL="0" distR="0" wp14:anchorId="49B413B3" wp14:editId="42E25B11">
            <wp:extent cx="4318000" cy="1828633"/>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72452" cy="1851693"/>
                    </a:xfrm>
                    <a:prstGeom prst="rect">
                      <a:avLst/>
                    </a:prstGeom>
                  </pic:spPr>
                </pic:pic>
              </a:graphicData>
            </a:graphic>
          </wp:inline>
        </w:drawing>
      </w:r>
    </w:p>
    <w:p w:rsidR="00F52B7D" w:rsidP="00F52B7D" w:rsidRDefault="00F52B7D" w14:paraId="101EF09C" w14:textId="781C201F">
      <w:pPr>
        <w:pStyle w:val="Caption"/>
        <w:jc w:val="center"/>
      </w:pPr>
      <w:r>
        <w:t>Texte enveloppé pour le nom du produit en vert</w:t>
      </w:r>
    </w:p>
    <w:p w:rsidRPr="00F52B7D" w:rsidR="00F52B7D" w:rsidP="00F52B7D" w:rsidRDefault="00F52B7D" w14:paraId="44700C93" w14:textId="1A338597">
      <w:pPr>
        <w:jc w:val="center"/>
      </w:pPr>
    </w:p>
    <w:p w:rsidR="00B52CC5" w:rsidP="00CC60DB" w:rsidRDefault="00B52CC5" w14:paraId="281E6652" w14:textId="3F2C2260">
      <w:pPr>
        <w:pStyle w:val="Heading2"/>
      </w:pPr>
      <w:bookmarkStart w:name="_Toc207357664" w:id="36"/>
      <w:r>
        <w:t>Numéros de page sur la liste de prélèvement et le bon de livraison</w:t>
      </w:r>
      <w:bookmarkEnd w:id="36"/>
    </w:p>
    <w:p w:rsidR="00B52CC5" w:rsidP="004B1EE5" w:rsidRDefault="00B52CC5" w14:paraId="1B2F9E49" w14:textId="2061EF69">
      <w:pPr>
        <w:jc w:val="both"/>
      </w:pPr>
      <w:r>
        <w:t>Une autre demande de l'équipe Sierra Leone : il sera désormais plus facile d'organiser plusieurs pages de listes de préparation et de livraison imprimées avec des numéros de page. Plus besoin de regarder plusieurs pages en essayant de déterminer la page suivante !</w:t>
      </w:r>
    </w:p>
    <w:p w:rsidR="00B52CC5" w:rsidP="00B52CC5" w:rsidRDefault="00B52CC5" w14:paraId="178A263C" w14:textId="20C1E282">
      <w:pPr>
        <w:keepNext/>
        <w:jc w:val="center"/>
      </w:pPr>
      <w:r w:rsidRPr="00B52CC5">
        <w:rPr>
          <w:noProof/>
          <w:lang w:val="en-US"/>
        </w:rPr>
        <w:drawing>
          <wp:inline distT="0" distB="0" distL="0" distR="0" wp14:anchorId="6E671F0B" wp14:editId="24C65D9B">
            <wp:extent cx="4938248" cy="230293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47684" cy="2307333"/>
                    </a:xfrm>
                    <a:prstGeom prst="rect">
                      <a:avLst/>
                    </a:prstGeom>
                  </pic:spPr>
                </pic:pic>
              </a:graphicData>
            </a:graphic>
          </wp:inline>
        </w:drawing>
      </w:r>
    </w:p>
    <w:p w:rsidR="00B52CC5" w:rsidP="00B52CC5" w:rsidRDefault="00B52CC5" w14:paraId="29E981D3" w14:textId="789ED15D">
      <w:pPr>
        <w:pStyle w:val="Caption"/>
        <w:jc w:val="center"/>
      </w:pPr>
      <w:r>
        <w:t>Numéros de page sur la liste de sélection</w:t>
      </w:r>
    </w:p>
    <w:p w:rsidRPr="00B52CC5" w:rsidR="00B52CC5" w:rsidP="00B52CC5" w:rsidRDefault="00B52CC5" w14:paraId="14D15B41" w14:textId="032E0533">
      <w:pPr>
        <w:jc w:val="center"/>
      </w:pPr>
    </w:p>
    <w:p w:rsidR="00CC60DB" w:rsidP="00CC60DB" w:rsidRDefault="00CC60DB" w14:paraId="1B48E271" w14:textId="4D32922B">
      <w:pPr>
        <w:pStyle w:val="Heading2"/>
      </w:pPr>
      <w:bookmarkStart w:name="_Toc207357665" w:id="37"/>
      <w:r>
        <w:t>Le code fournisseur est désormais visible dans la page d'affichage des expéditions</w:t>
      </w:r>
      <w:bookmarkEnd w:id="37"/>
      <w:r w:rsidR="00194533">
        <w:t xml:space="preserve"> </w:t>
      </w:r>
    </w:p>
    <w:p w:rsidR="009074D9" w:rsidP="00682F86" w:rsidRDefault="00CC60DB" w14:paraId="70B76AC9" w14:textId="6BA450D0">
      <w:pPr>
        <w:jc w:val="both"/>
      </w:pPr>
      <w:r>
        <w:t xml:space="preserve">À la demande de l'équipe de la chaîne d'approvisionnement de Boston, nous pouvons désormais voir le code fournisseur dans la </w:t>
      </w:r>
      <w:hyperlink w:history="1" r:id="rId46">
        <w:r w:rsidRPr="00682F86" w:rsidR="009074D9">
          <w:rPr>
            <w:rStyle w:val="Hyperlink"/>
          </w:rPr>
          <w:t xml:space="preserve">page d'affichage </w:t>
        </w:r>
      </w:hyperlink>
      <w:hyperlink w:history="1" r:id="rId47">
        <w:r w:rsidRPr="00682F86">
          <w:rPr>
            <w:rStyle w:val="Hyperlink"/>
          </w:rPr>
          <w:t xml:space="preserve">des expéditions </w:t>
        </w:r>
      </w:hyperlink>
      <w:r w:rsidR="009074D9">
        <w:t>.</w:t>
      </w:r>
    </w:p>
    <w:p w:rsidR="009074D9" w:rsidP="00682F86" w:rsidRDefault="00CC60DB" w14:paraId="2E2B3C5D" w14:textId="66D6B9C5">
      <w:pPr>
        <w:jc w:val="both"/>
      </w:pPr>
      <w:r>
        <w:t>Ceci ne s'applique actuellement qu'aux envois de commandes internationales. L'équipe de la chaîne d'approvisionnement de Boston utilise les codes fournisseurs pour rendre compte des services du fournisseur et de l'exhaustivité de ses documents. Le fait qu'ils soient visibles sur une page qu'ils consultent fréquemment est un atout majeur !</w:t>
      </w:r>
    </w:p>
    <w:p w:rsidR="009074D9" w:rsidP="009074D9" w:rsidRDefault="00CC60DB" w14:paraId="6EAF87CE" w14:textId="77777777">
      <w:pPr>
        <w:keepNext/>
        <w:jc w:val="center"/>
      </w:pPr>
      <w:r w:rsidRPr="00CC60DB">
        <w:rPr>
          <w:noProof/>
          <w:lang w:val="en-US"/>
        </w:rPr>
        <w:drawing>
          <wp:inline distT="0" distB="0" distL="0" distR="0" wp14:anchorId="2E8B52D4" wp14:editId="1FD7D80C">
            <wp:extent cx="2445216" cy="16652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58976" cy="1674648"/>
                    </a:xfrm>
                    <a:prstGeom prst="rect">
                      <a:avLst/>
                    </a:prstGeom>
                  </pic:spPr>
                </pic:pic>
              </a:graphicData>
            </a:graphic>
          </wp:inline>
        </w:drawing>
      </w:r>
    </w:p>
    <w:p w:rsidR="009074D9" w:rsidP="00997276" w:rsidRDefault="009074D9" w14:paraId="1154D2CF" w14:textId="047600FB">
      <w:pPr>
        <w:pStyle w:val="Caption"/>
        <w:jc w:val="center"/>
      </w:pPr>
      <w:r>
        <w:t>Code fournisseur dans la page d'affichage des expéditions</w:t>
      </w:r>
    </w:p>
    <w:bookmarkEnd w:id="15"/>
    <w:bookmarkEnd w:id="16"/>
    <w:p w:rsidR="004B1EE5" w:rsidP="00194533" w:rsidRDefault="004B1EE5" w14:paraId="04E5AE77" w14:textId="6FBB5A14">
      <w:pPr>
        <w:pStyle w:val="Heading1"/>
      </w:pPr>
    </w:p>
    <w:p w:rsidRPr="00784A8C" w:rsidR="00194533" w:rsidP="00784A8C" w:rsidRDefault="00194533" w14:paraId="7D440247" w14:textId="4AF68E3B">
      <w:pPr>
        <w:pStyle w:val="Heading1"/>
      </w:pPr>
      <w:bookmarkStart w:name="_Toc207357666" w:id="38"/>
      <w:r>
        <w:t>Corrections de bugs</w:t>
      </w:r>
      <w:bookmarkEnd w:id="38"/>
    </w:p>
    <w:p w:rsidR="00194533" w:rsidP="00194533" w:rsidRDefault="00194533" w14:paraId="497E45B2" w14:textId="0C44970F"/>
    <w:p w:rsidR="00194533" w:rsidP="009074D9" w:rsidRDefault="009074D9" w14:paraId="3E63C250" w14:textId="74FDEF39">
      <w:pPr>
        <w:pStyle w:val="Heading3"/>
      </w:pPr>
      <w:bookmarkStart w:name="_Toc207357667" w:id="39"/>
      <w:r w:rsidR="009074D9">
        <w:rPr/>
        <w:t>Importation de produits entraînant une duplication de catégories et d</w:t>
      </w:r>
      <w:r w:rsidR="52558345">
        <w:rPr/>
        <w:t>’étiquette</w:t>
      </w:r>
      <w:r w:rsidR="009074D9">
        <w:rPr/>
        <w:t>s</w:t>
      </w:r>
      <w:bookmarkEnd w:id="39"/>
      <w:r w:rsidR="00194533">
        <w:rPr/>
        <w:t xml:space="preserve"> </w:t>
      </w:r>
    </w:p>
    <w:p w:rsidR="009074D9" w:rsidP="00194533" w:rsidRDefault="009074D9" w14:paraId="796FE037" w14:textId="75317064">
      <w:r>
        <w:t xml:space="preserve">Les instances d' </w:t>
      </w:r>
      <w:hyperlink w:history="1" r:id="rId49">
        <w:r w:rsidRPr="004367CC">
          <w:rPr>
            <w:rStyle w:val="Hyperlink"/>
          </w:rPr>
          <w:t xml:space="preserve">importations de produits </w:t>
        </w:r>
      </w:hyperlink>
      <w:r>
        <w:t>avec plusieurs lignes contenant les mêmes catégories et balises provoquaient la duplication de ces catégories et balises en créant de nouveaux identifiants au lieu de les faire correspondre aux identifiants existants.</w:t>
      </w:r>
    </w:p>
    <w:p w:rsidR="009074D9" w:rsidP="009074D9" w:rsidRDefault="009074D9" w14:paraId="1062B4C4" w14:textId="3F2D2384">
      <w:r>
        <w:t>C'est maintenant résolu !</w:t>
      </w:r>
    </w:p>
    <w:p w:rsidR="00F85336" w:rsidP="009074D9" w:rsidRDefault="00F85336" w14:paraId="41B86083" w14:textId="77777777"/>
    <w:p w:rsidR="00AC1303" w:rsidP="00AC1303" w:rsidRDefault="009074D9" w14:paraId="2172B563" w14:textId="17ED5A46">
      <w:pPr>
        <w:pStyle w:val="Heading3"/>
      </w:pPr>
      <w:bookmarkStart w:name="_Toc207357668" w:id="40"/>
      <w:r>
        <w:t>URL des pages de liste des associations de produits</w:t>
      </w:r>
      <w:bookmarkEnd w:id="40"/>
    </w:p>
    <w:p w:rsidR="009074D9" w:rsidP="00AC1303" w:rsidRDefault="009074D9" w14:paraId="1132F14E" w14:textId="62B5138C">
      <w:r>
        <w:t xml:space="preserve">Dans la </w:t>
      </w:r>
      <w:hyperlink w:history="1" r:id="rId50">
        <w:r w:rsidRPr="004367CC">
          <w:rPr>
            <w:rStyle w:val="Hyperlink"/>
          </w:rPr>
          <w:t xml:space="preserve">page Liste des associations de produits </w:t>
        </w:r>
      </w:hyperlink>
      <w:r>
        <w:t>, les hyperliens de la colonne « Produits associés » redirigeaient les utilisateurs vers la mauvaise fiche de stock. Ce problème a été résolu. Les hyperliens redirigent désormais les utilisateurs vers les fiches de stock correctes.</w:t>
      </w:r>
    </w:p>
    <w:p w:rsidR="009074D9" w:rsidP="009074D9" w:rsidRDefault="009074D9" w14:paraId="65AD3374" w14:textId="77777777">
      <w:pPr>
        <w:keepNext/>
        <w:jc w:val="center"/>
      </w:pPr>
      <w:r w:rsidRPr="009074D9">
        <w:rPr>
          <w:noProof/>
          <w:lang w:val="en-US"/>
        </w:rPr>
        <w:drawing>
          <wp:inline distT="0" distB="0" distL="0" distR="0" wp14:anchorId="13D24CEA" wp14:editId="2E8F1903">
            <wp:extent cx="5119255" cy="986660"/>
            <wp:effectExtent l="0" t="0" r="571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90675" cy="1000425"/>
                    </a:xfrm>
                    <a:prstGeom prst="rect">
                      <a:avLst/>
                    </a:prstGeom>
                  </pic:spPr>
                </pic:pic>
              </a:graphicData>
            </a:graphic>
          </wp:inline>
        </w:drawing>
      </w:r>
    </w:p>
    <w:p w:rsidRPr="008279E5" w:rsidR="00C0568A" w:rsidP="008279E5" w:rsidRDefault="009074D9" w14:paraId="7CA78C5E" w14:textId="7072DB58">
      <w:pPr>
        <w:pStyle w:val="Caption"/>
        <w:jc w:val="center"/>
      </w:pPr>
      <w:r>
        <w:t>Liste des associations de produits</w:t>
      </w:r>
    </w:p>
    <w:p w:rsidR="00903584" w:rsidP="00C74A0A" w:rsidRDefault="00903584" w14:paraId="490FF79A" w14:textId="673C6A33">
      <w:pPr>
        <w:jc w:val="both"/>
      </w:pPr>
    </w:p>
    <w:sectPr w:rsidR="00903584" w:rsidSect="00251CB7">
      <w:headerReference w:type="default" r:id="rId52"/>
      <w:headerReference w:type="first" r:id="rId53"/>
      <w:footerReference w:type="first" r:id="rId54"/>
      <w:pgSz w:w="12240" w:h="15840" w:orient="portrait"/>
      <w:pgMar w:top="1440" w:right="1440" w:bottom="1440" w:left="144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0E1B88" w16cex:dateUtc="2025-08-27T12:17:33.969Z"/>
  <w16cex:commentExtensible w16cex:durableId="369392FE" w16cex:dateUtc="2025-08-27T12:25:49.417Z"/>
  <w16cex:commentExtensible w16cex:durableId="2436F23E" w16cex:dateUtc="2025-08-27T12:36:07.814Z"/>
  <w16cex:commentExtensible w16cex:durableId="0D8DDF7B" w16cex:dateUtc="2025-08-27T12:37:42.763Z"/>
  <w16cex:commentExtensible w16cex:durableId="33629048" w16cex:dateUtc="2025-08-27T12:40:30.816Z"/>
  <w16cex:commentExtensible w16cex:durableId="7835694A" w16cex:dateUtc="2025-08-27T12:44:09.07Z"/>
  <w16cex:commentExtensible w16cex:durableId="7E05C29C" w16cex:dateUtc="2025-08-28T04:55:07.553Z"/>
  <w16cex:commentExtensible w16cex:durableId="7FD5C80B" w16cex:dateUtc="2025-08-28T14:00:27.544Z"/>
</w16cex:commentsExtensible>
</file>

<file path=word/commentsIds.xml><?xml version="1.0" encoding="utf-8"?>
<w16cid:commentsIds xmlns:mc="http://schemas.openxmlformats.org/markup-compatibility/2006" xmlns:w16cid="http://schemas.microsoft.com/office/word/2016/wordml/cid" mc:Ignorable="w16cid">
  <w16cid:commentId w16cid:paraId="572F0C1A" w16cid:durableId="4B9A48E9"/>
  <w16cid:commentId w16cid:paraId="13C42CCC" w16cid:durableId="2FC473E7"/>
  <w16cid:commentId w16cid:paraId="480E4F14" w16cid:durableId="440E1B88"/>
  <w16cid:commentId w16cid:paraId="38107485" w16cid:durableId="369392FE"/>
  <w16cid:commentId w16cid:paraId="089815DE" w16cid:durableId="2436F23E"/>
  <w16cid:commentId w16cid:paraId="3C5C4567" w16cid:durableId="0D8DDF7B"/>
  <w16cid:commentId w16cid:paraId="21CA8219" w16cid:durableId="33629048"/>
  <w16cid:commentId w16cid:paraId="1069D7FD" w16cid:durableId="7835694A"/>
  <w16cid:commentId w16cid:paraId="50A30A14" w16cid:durableId="7E05C29C"/>
  <w16cid:commentId w16cid:paraId="2CF39EFB" w16cid:durableId="7FD5C8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A8C" w:rsidP="000014DF" w:rsidRDefault="00784A8C" w14:paraId="219DEC47" w14:textId="77777777">
      <w:pPr>
        <w:spacing w:after="0" w:line="240" w:lineRule="auto"/>
      </w:pPr>
      <w:r>
        <w:separator/>
      </w:r>
    </w:p>
  </w:endnote>
  <w:endnote w:type="continuationSeparator" w:id="0">
    <w:p w:rsidR="00784A8C" w:rsidP="000014DF" w:rsidRDefault="00784A8C" w14:paraId="7ACA0352" w14:textId="77777777">
      <w:pPr>
        <w:spacing w:after="0" w:line="240" w:lineRule="auto"/>
      </w:pPr>
      <w:r>
        <w:continuationSeparator/>
      </w:r>
    </w:p>
  </w:endnote>
  <w:endnote w:type="continuationNotice" w:id="1">
    <w:p w:rsidR="00784A8C" w:rsidRDefault="00784A8C" w14:paraId="7C2E977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784A8C" w:rsidTr="13BC8465" w14:paraId="45E66244" w14:textId="77777777">
      <w:trPr>
        <w:trHeight w:val="300"/>
      </w:trPr>
      <w:tc>
        <w:tcPr>
          <w:tcW w:w="3120" w:type="dxa"/>
        </w:tcPr>
        <w:p w:rsidR="00784A8C" w:rsidP="13BC8465" w:rsidRDefault="00784A8C" w14:paraId="0BDA2FD5" w14:textId="715F3B7E">
          <w:pPr>
            <w:pStyle w:val="Header"/>
            <w:ind w:left="-115"/>
          </w:pPr>
        </w:p>
      </w:tc>
      <w:tc>
        <w:tcPr>
          <w:tcW w:w="3120" w:type="dxa"/>
        </w:tcPr>
        <w:p w:rsidR="00784A8C" w:rsidP="13BC8465" w:rsidRDefault="00784A8C" w14:paraId="099DD6D7" w14:textId="5005F194">
          <w:pPr>
            <w:pStyle w:val="Header"/>
            <w:jc w:val="center"/>
          </w:pPr>
        </w:p>
      </w:tc>
      <w:tc>
        <w:tcPr>
          <w:tcW w:w="3120" w:type="dxa"/>
        </w:tcPr>
        <w:p w:rsidR="00784A8C" w:rsidP="13BC8465" w:rsidRDefault="00784A8C" w14:paraId="7B4FB36C" w14:textId="2B922A9C">
          <w:pPr>
            <w:pStyle w:val="Header"/>
            <w:ind w:right="-115"/>
            <w:jc w:val="right"/>
          </w:pPr>
        </w:p>
      </w:tc>
    </w:tr>
  </w:tbl>
  <w:p w:rsidR="00784A8C" w:rsidP="13BC8465" w:rsidRDefault="00784A8C" w14:paraId="22F55B05" w14:textId="26D73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A8C" w:rsidP="000014DF" w:rsidRDefault="00784A8C" w14:paraId="314BA4D6" w14:textId="77777777">
      <w:pPr>
        <w:spacing w:after="0" w:line="240" w:lineRule="auto"/>
      </w:pPr>
      <w:r>
        <w:separator/>
      </w:r>
    </w:p>
  </w:footnote>
  <w:footnote w:type="continuationSeparator" w:id="0">
    <w:p w:rsidR="00784A8C" w:rsidP="000014DF" w:rsidRDefault="00784A8C" w14:paraId="0EB9FE33" w14:textId="77777777">
      <w:pPr>
        <w:spacing w:after="0" w:line="240" w:lineRule="auto"/>
      </w:pPr>
      <w:r>
        <w:continuationSeparator/>
      </w:r>
    </w:p>
  </w:footnote>
  <w:footnote w:type="continuationNotice" w:id="1">
    <w:p w:rsidR="00784A8C" w:rsidRDefault="00784A8C" w14:paraId="5A17D22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014DF" w:rsidR="00784A8C" w:rsidP="13BC8465" w:rsidRDefault="00784A8C" w14:paraId="689494AF" w14:textId="48EC0AE2">
    <w:pPr>
      <w:pStyle w:val="Header"/>
      <w:jc w:val="center"/>
      <w:rPr>
        <w:b/>
        <w:bCs/>
        <w:sz w:val="36"/>
        <w:szCs w:val="36"/>
      </w:rPr>
    </w:pPr>
    <w:r>
      <w:rPr>
        <w:b/>
        <w:bCs/>
        <w:sz w:val="36"/>
        <w:szCs w:val="36"/>
      </w:rPr>
      <w:t>NOTES DE VERSION 0.9.5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784A8C" w:rsidTr="13BC8465" w14:paraId="3FA762CD" w14:textId="77777777">
      <w:trPr>
        <w:trHeight w:val="300"/>
      </w:trPr>
      <w:tc>
        <w:tcPr>
          <w:tcW w:w="3120" w:type="dxa"/>
        </w:tcPr>
        <w:p w:rsidR="00784A8C" w:rsidP="13BC8465" w:rsidRDefault="00784A8C" w14:paraId="43DFB79E" w14:textId="1EBD8AC6">
          <w:pPr>
            <w:pStyle w:val="Header"/>
            <w:ind w:left="-115"/>
          </w:pPr>
        </w:p>
      </w:tc>
      <w:tc>
        <w:tcPr>
          <w:tcW w:w="3120" w:type="dxa"/>
        </w:tcPr>
        <w:p w:rsidR="00784A8C" w:rsidP="13BC8465" w:rsidRDefault="00784A8C" w14:paraId="06E763FA" w14:textId="313CD4A7">
          <w:pPr>
            <w:pStyle w:val="Header"/>
            <w:jc w:val="center"/>
          </w:pPr>
        </w:p>
      </w:tc>
      <w:tc>
        <w:tcPr>
          <w:tcW w:w="3120" w:type="dxa"/>
        </w:tcPr>
        <w:p w:rsidR="00784A8C" w:rsidP="13BC8465" w:rsidRDefault="00784A8C" w14:paraId="052D11DE" w14:textId="082594B0">
          <w:pPr>
            <w:pStyle w:val="Header"/>
            <w:ind w:right="-115"/>
            <w:jc w:val="right"/>
          </w:pPr>
        </w:p>
      </w:tc>
    </w:tr>
  </w:tbl>
  <w:p w:rsidR="00784A8C" w:rsidP="13BC8465" w:rsidRDefault="00784A8C" w14:paraId="0F174D7D" w14:textId="406C7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3E27"/>
    <w:multiLevelType w:val="hybridMultilevel"/>
    <w:tmpl w:val="4CCA62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D0D4CC8"/>
    <w:multiLevelType w:val="hybridMultilevel"/>
    <w:tmpl w:val="B942A168"/>
    <w:lvl w:ilvl="0" w:tplc="A71C79F8">
      <w:numFmt w:val="bullet"/>
      <w:lvlText w:val=""/>
      <w:lvlJc w:val="left"/>
      <w:pPr>
        <w:ind w:left="720" w:hanging="360"/>
      </w:pPr>
      <w:rPr>
        <w:rFonts w:hint="default" w:ascii="Symbol" w:hAnsi="Symbol"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35C525B"/>
    <w:multiLevelType w:val="hybridMultilevel"/>
    <w:tmpl w:val="0F965C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45816B4"/>
    <w:multiLevelType w:val="hybridMultilevel"/>
    <w:tmpl w:val="B5C4B984"/>
    <w:lvl w:ilvl="0" w:tplc="378C4EA6">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90F0CA4"/>
    <w:multiLevelType w:val="hybridMultilevel"/>
    <w:tmpl w:val="35A8F74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E3C187D"/>
    <w:multiLevelType w:val="hybridMultilevel"/>
    <w:tmpl w:val="2C700A8E"/>
    <w:lvl w:ilvl="0" w:tplc="04090003">
      <w:start w:val="1"/>
      <w:numFmt w:val="bullet"/>
      <w:lvlText w:val="o"/>
      <w:lvlJc w:val="left"/>
      <w:pPr>
        <w:ind w:left="1440" w:hanging="360"/>
      </w:pPr>
      <w:rPr>
        <w:rFonts w:hint="default" w:ascii="Courier New" w:hAnsi="Courier New" w:cs="Courier New"/>
      </w:rPr>
    </w:lvl>
    <w:lvl w:ilvl="1" w:tplc="04090003">
      <w:start w:val="1"/>
      <w:numFmt w:val="bullet"/>
      <w:lvlText w:val="o"/>
      <w:lvlJc w:val="left"/>
      <w:pPr>
        <w:ind w:left="720" w:hanging="360"/>
      </w:pPr>
      <w:rPr>
        <w:rFonts w:hint="default" w:ascii="Courier New" w:hAnsi="Courier New" w:cs="Courier New"/>
      </w:rPr>
    </w:lvl>
    <w:lvl w:ilvl="2" w:tplc="04090005">
      <w:start w:val="1"/>
      <w:numFmt w:val="bullet"/>
      <w:lvlText w:val=""/>
      <w:lvlJc w:val="left"/>
      <w:pPr>
        <w:ind w:left="1440" w:hanging="360"/>
      </w:pPr>
      <w:rPr>
        <w:rFonts w:hint="default" w:ascii="Wingdings" w:hAnsi="Wingdings"/>
      </w:rPr>
    </w:lvl>
    <w:lvl w:ilvl="3" w:tplc="04090001" w:tentative="1">
      <w:start w:val="1"/>
      <w:numFmt w:val="bullet"/>
      <w:lvlText w:val=""/>
      <w:lvlJc w:val="left"/>
      <w:pPr>
        <w:ind w:left="2160" w:hanging="360"/>
      </w:pPr>
      <w:rPr>
        <w:rFonts w:hint="default" w:ascii="Symbol" w:hAnsi="Symbol"/>
      </w:rPr>
    </w:lvl>
    <w:lvl w:ilvl="4" w:tplc="04090003" w:tentative="1">
      <w:start w:val="1"/>
      <w:numFmt w:val="bullet"/>
      <w:lvlText w:val="o"/>
      <w:lvlJc w:val="left"/>
      <w:pPr>
        <w:ind w:left="2880" w:hanging="360"/>
      </w:pPr>
      <w:rPr>
        <w:rFonts w:hint="default" w:ascii="Courier New" w:hAnsi="Courier New" w:cs="Courier New"/>
      </w:rPr>
    </w:lvl>
    <w:lvl w:ilvl="5" w:tplc="04090005" w:tentative="1">
      <w:start w:val="1"/>
      <w:numFmt w:val="bullet"/>
      <w:lvlText w:val=""/>
      <w:lvlJc w:val="left"/>
      <w:pPr>
        <w:ind w:left="3600" w:hanging="360"/>
      </w:pPr>
      <w:rPr>
        <w:rFonts w:hint="default" w:ascii="Wingdings" w:hAnsi="Wingdings"/>
      </w:rPr>
    </w:lvl>
    <w:lvl w:ilvl="6" w:tplc="04090001" w:tentative="1">
      <w:start w:val="1"/>
      <w:numFmt w:val="bullet"/>
      <w:lvlText w:val=""/>
      <w:lvlJc w:val="left"/>
      <w:pPr>
        <w:ind w:left="4320" w:hanging="360"/>
      </w:pPr>
      <w:rPr>
        <w:rFonts w:hint="default" w:ascii="Symbol" w:hAnsi="Symbol"/>
      </w:rPr>
    </w:lvl>
    <w:lvl w:ilvl="7" w:tplc="04090003" w:tentative="1">
      <w:start w:val="1"/>
      <w:numFmt w:val="bullet"/>
      <w:lvlText w:val="o"/>
      <w:lvlJc w:val="left"/>
      <w:pPr>
        <w:ind w:left="5040" w:hanging="360"/>
      </w:pPr>
      <w:rPr>
        <w:rFonts w:hint="default" w:ascii="Courier New" w:hAnsi="Courier New" w:cs="Courier New"/>
      </w:rPr>
    </w:lvl>
    <w:lvl w:ilvl="8" w:tplc="04090005" w:tentative="1">
      <w:start w:val="1"/>
      <w:numFmt w:val="bullet"/>
      <w:lvlText w:val=""/>
      <w:lvlJc w:val="left"/>
      <w:pPr>
        <w:ind w:left="5760" w:hanging="360"/>
      </w:pPr>
      <w:rPr>
        <w:rFonts w:hint="default" w:ascii="Wingdings" w:hAnsi="Wingdings"/>
      </w:rPr>
    </w:lvl>
  </w:abstractNum>
  <w:abstractNum w:abstractNumId="6" w15:restartNumberingAfterBreak="0">
    <w:nsid w:val="1EF60176"/>
    <w:multiLevelType w:val="hybridMultilevel"/>
    <w:tmpl w:val="660410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1D9483F"/>
    <w:multiLevelType w:val="hybridMultilevel"/>
    <w:tmpl w:val="559E27DE"/>
    <w:lvl w:ilvl="0" w:tplc="7AD26A20">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7FD4D24"/>
    <w:multiLevelType w:val="hybridMultilevel"/>
    <w:tmpl w:val="CD84C90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2CEF7810"/>
    <w:multiLevelType w:val="hybridMultilevel"/>
    <w:tmpl w:val="AD18EF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D2D197E"/>
    <w:multiLevelType w:val="hybridMultilevel"/>
    <w:tmpl w:val="F9CA6906"/>
    <w:lvl w:ilvl="0" w:tplc="634004F2">
      <w:start w:val="1"/>
      <w:numFmt w:val="decimal"/>
      <w:lvlText w:val="%1."/>
      <w:lvlJc w:val="left"/>
      <w:pPr>
        <w:ind w:left="720" w:hanging="360"/>
      </w:pPr>
    </w:lvl>
    <w:lvl w:ilvl="1" w:tplc="F07A06E4">
      <w:start w:val="1"/>
      <w:numFmt w:val="lowerLetter"/>
      <w:lvlText w:val="%2."/>
      <w:lvlJc w:val="left"/>
      <w:pPr>
        <w:ind w:left="1440" w:hanging="360"/>
      </w:pPr>
    </w:lvl>
    <w:lvl w:ilvl="2" w:tplc="9D0EABBE">
      <w:start w:val="1"/>
      <w:numFmt w:val="lowerRoman"/>
      <w:lvlText w:val="%3."/>
      <w:lvlJc w:val="right"/>
      <w:pPr>
        <w:ind w:left="2160" w:hanging="180"/>
      </w:pPr>
    </w:lvl>
    <w:lvl w:ilvl="3" w:tplc="4B74F5D0">
      <w:start w:val="1"/>
      <w:numFmt w:val="decimal"/>
      <w:lvlText w:val="%4."/>
      <w:lvlJc w:val="left"/>
      <w:pPr>
        <w:ind w:left="2880" w:hanging="360"/>
      </w:pPr>
    </w:lvl>
    <w:lvl w:ilvl="4" w:tplc="E98A0698">
      <w:start w:val="1"/>
      <w:numFmt w:val="lowerLetter"/>
      <w:lvlText w:val="%5."/>
      <w:lvlJc w:val="left"/>
      <w:pPr>
        <w:ind w:left="3600" w:hanging="360"/>
      </w:pPr>
    </w:lvl>
    <w:lvl w:ilvl="5" w:tplc="3B6E420A">
      <w:start w:val="1"/>
      <w:numFmt w:val="lowerRoman"/>
      <w:lvlText w:val="%6."/>
      <w:lvlJc w:val="right"/>
      <w:pPr>
        <w:ind w:left="4320" w:hanging="180"/>
      </w:pPr>
    </w:lvl>
    <w:lvl w:ilvl="6" w:tplc="F25EA1D6">
      <w:start w:val="1"/>
      <w:numFmt w:val="decimal"/>
      <w:lvlText w:val="%7."/>
      <w:lvlJc w:val="left"/>
      <w:pPr>
        <w:ind w:left="5040" w:hanging="360"/>
      </w:pPr>
    </w:lvl>
    <w:lvl w:ilvl="7" w:tplc="3C0621DE">
      <w:start w:val="1"/>
      <w:numFmt w:val="lowerLetter"/>
      <w:lvlText w:val="%8."/>
      <w:lvlJc w:val="left"/>
      <w:pPr>
        <w:ind w:left="5760" w:hanging="360"/>
      </w:pPr>
    </w:lvl>
    <w:lvl w:ilvl="8" w:tplc="8B9A3A90">
      <w:start w:val="1"/>
      <w:numFmt w:val="lowerRoman"/>
      <w:lvlText w:val="%9."/>
      <w:lvlJc w:val="right"/>
      <w:pPr>
        <w:ind w:left="6480" w:hanging="180"/>
      </w:pPr>
    </w:lvl>
  </w:abstractNum>
  <w:abstractNum w:abstractNumId="11" w15:restartNumberingAfterBreak="0">
    <w:nsid w:val="2EDFA4B6"/>
    <w:multiLevelType w:val="hybridMultilevel"/>
    <w:tmpl w:val="386A958A"/>
    <w:lvl w:ilvl="0" w:tplc="47645634">
      <w:start w:val="1"/>
      <w:numFmt w:val="decimal"/>
      <w:lvlText w:val="%1."/>
      <w:lvlJc w:val="left"/>
      <w:pPr>
        <w:ind w:left="720" w:hanging="360"/>
      </w:pPr>
    </w:lvl>
    <w:lvl w:ilvl="1" w:tplc="91723D6C">
      <w:start w:val="1"/>
      <w:numFmt w:val="lowerLetter"/>
      <w:lvlText w:val="%2."/>
      <w:lvlJc w:val="left"/>
      <w:pPr>
        <w:ind w:left="1440" w:hanging="360"/>
      </w:pPr>
    </w:lvl>
    <w:lvl w:ilvl="2" w:tplc="C0D2E718">
      <w:start w:val="1"/>
      <w:numFmt w:val="lowerRoman"/>
      <w:lvlText w:val="%3."/>
      <w:lvlJc w:val="right"/>
      <w:pPr>
        <w:ind w:left="2160" w:hanging="180"/>
      </w:pPr>
    </w:lvl>
    <w:lvl w:ilvl="3" w:tplc="07C0A23E">
      <w:start w:val="1"/>
      <w:numFmt w:val="decimal"/>
      <w:lvlText w:val="%4."/>
      <w:lvlJc w:val="left"/>
      <w:pPr>
        <w:ind w:left="2880" w:hanging="360"/>
      </w:pPr>
    </w:lvl>
    <w:lvl w:ilvl="4" w:tplc="C95EC6C6">
      <w:start w:val="1"/>
      <w:numFmt w:val="lowerLetter"/>
      <w:lvlText w:val="%5."/>
      <w:lvlJc w:val="left"/>
      <w:pPr>
        <w:ind w:left="3600" w:hanging="360"/>
      </w:pPr>
    </w:lvl>
    <w:lvl w:ilvl="5" w:tplc="38660688">
      <w:start w:val="1"/>
      <w:numFmt w:val="lowerRoman"/>
      <w:lvlText w:val="%6."/>
      <w:lvlJc w:val="right"/>
      <w:pPr>
        <w:ind w:left="4320" w:hanging="180"/>
      </w:pPr>
    </w:lvl>
    <w:lvl w:ilvl="6" w:tplc="CD3AC056">
      <w:start w:val="1"/>
      <w:numFmt w:val="decimal"/>
      <w:lvlText w:val="%7."/>
      <w:lvlJc w:val="left"/>
      <w:pPr>
        <w:ind w:left="5040" w:hanging="360"/>
      </w:pPr>
    </w:lvl>
    <w:lvl w:ilvl="7" w:tplc="2938AFBC">
      <w:start w:val="1"/>
      <w:numFmt w:val="lowerLetter"/>
      <w:lvlText w:val="%8."/>
      <w:lvlJc w:val="left"/>
      <w:pPr>
        <w:ind w:left="5760" w:hanging="360"/>
      </w:pPr>
    </w:lvl>
    <w:lvl w:ilvl="8" w:tplc="517C87DE">
      <w:start w:val="1"/>
      <w:numFmt w:val="lowerRoman"/>
      <w:lvlText w:val="%9."/>
      <w:lvlJc w:val="right"/>
      <w:pPr>
        <w:ind w:left="6480" w:hanging="180"/>
      </w:pPr>
    </w:lvl>
  </w:abstractNum>
  <w:abstractNum w:abstractNumId="12" w15:restartNumberingAfterBreak="0">
    <w:nsid w:val="30764A62"/>
    <w:multiLevelType w:val="hybridMultilevel"/>
    <w:tmpl w:val="DB165B66"/>
    <w:lvl w:ilvl="0" w:tplc="7E5E3C26">
      <w:start w:val="5"/>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4957B5B"/>
    <w:multiLevelType w:val="hybridMultilevel"/>
    <w:tmpl w:val="5E6CBB0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5A52CE3"/>
    <w:multiLevelType w:val="hybridMultilevel"/>
    <w:tmpl w:val="7A8E02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6330154"/>
    <w:multiLevelType w:val="hybridMultilevel"/>
    <w:tmpl w:val="55FC1D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90C2E77"/>
    <w:multiLevelType w:val="hybridMultilevel"/>
    <w:tmpl w:val="A5D2D504"/>
    <w:lvl w:ilvl="0" w:tplc="FF065142">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C9C7607"/>
    <w:multiLevelType w:val="hybridMultilevel"/>
    <w:tmpl w:val="FB2A36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737465E"/>
    <w:multiLevelType w:val="hybridMultilevel"/>
    <w:tmpl w:val="7F7C3C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9422C89"/>
    <w:multiLevelType w:val="hybridMultilevel"/>
    <w:tmpl w:val="A42CB73A"/>
    <w:lvl w:ilvl="0" w:tplc="04090003">
      <w:start w:val="1"/>
      <w:numFmt w:val="bullet"/>
      <w:lvlText w:val="o"/>
      <w:lvlJc w:val="left"/>
      <w:pPr>
        <w:ind w:left="1800" w:hanging="360"/>
      </w:pPr>
      <w:rPr>
        <w:rFonts w:hint="default" w:ascii="Courier New" w:hAnsi="Courier New" w:cs="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0" w15:restartNumberingAfterBreak="0">
    <w:nsid w:val="4BDD128A"/>
    <w:multiLevelType w:val="hybridMultilevel"/>
    <w:tmpl w:val="FB546544"/>
    <w:lvl w:ilvl="0" w:tplc="284C36B4">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E04E106"/>
    <w:multiLevelType w:val="hybridMultilevel"/>
    <w:tmpl w:val="D988EF90"/>
    <w:lvl w:ilvl="0" w:tplc="00F6210E">
      <w:start w:val="1"/>
      <w:numFmt w:val="lowerRoman"/>
      <w:lvlText w:val="%1."/>
      <w:lvlJc w:val="left"/>
      <w:pPr>
        <w:ind w:left="1800" w:hanging="360"/>
      </w:pPr>
    </w:lvl>
    <w:lvl w:ilvl="1" w:tplc="59A0C2F4">
      <w:start w:val="1"/>
      <w:numFmt w:val="lowerLetter"/>
      <w:lvlText w:val="%2."/>
      <w:lvlJc w:val="left"/>
      <w:pPr>
        <w:ind w:left="2520" w:hanging="360"/>
      </w:pPr>
    </w:lvl>
    <w:lvl w:ilvl="2" w:tplc="9B6E77AE">
      <w:start w:val="1"/>
      <w:numFmt w:val="lowerRoman"/>
      <w:lvlText w:val="%3."/>
      <w:lvlJc w:val="right"/>
      <w:pPr>
        <w:ind w:left="3240" w:hanging="180"/>
      </w:pPr>
    </w:lvl>
    <w:lvl w:ilvl="3" w:tplc="D33055A0">
      <w:start w:val="1"/>
      <w:numFmt w:val="decimal"/>
      <w:lvlText w:val="%4."/>
      <w:lvlJc w:val="left"/>
      <w:pPr>
        <w:ind w:left="3960" w:hanging="360"/>
      </w:pPr>
    </w:lvl>
    <w:lvl w:ilvl="4" w:tplc="2D3A7BBE">
      <w:start w:val="1"/>
      <w:numFmt w:val="lowerLetter"/>
      <w:lvlText w:val="%5."/>
      <w:lvlJc w:val="left"/>
      <w:pPr>
        <w:ind w:left="4680" w:hanging="360"/>
      </w:pPr>
    </w:lvl>
    <w:lvl w:ilvl="5" w:tplc="AF18D136">
      <w:start w:val="1"/>
      <w:numFmt w:val="lowerRoman"/>
      <w:lvlText w:val="%6."/>
      <w:lvlJc w:val="right"/>
      <w:pPr>
        <w:ind w:left="5400" w:hanging="180"/>
      </w:pPr>
    </w:lvl>
    <w:lvl w:ilvl="6" w:tplc="A57876B6">
      <w:start w:val="1"/>
      <w:numFmt w:val="decimal"/>
      <w:lvlText w:val="%7."/>
      <w:lvlJc w:val="left"/>
      <w:pPr>
        <w:ind w:left="6120" w:hanging="360"/>
      </w:pPr>
    </w:lvl>
    <w:lvl w:ilvl="7" w:tplc="A4D89838">
      <w:start w:val="1"/>
      <w:numFmt w:val="lowerLetter"/>
      <w:lvlText w:val="%8."/>
      <w:lvlJc w:val="left"/>
      <w:pPr>
        <w:ind w:left="6840" w:hanging="360"/>
      </w:pPr>
    </w:lvl>
    <w:lvl w:ilvl="8" w:tplc="3D623F46">
      <w:start w:val="1"/>
      <w:numFmt w:val="lowerRoman"/>
      <w:lvlText w:val="%9."/>
      <w:lvlJc w:val="right"/>
      <w:pPr>
        <w:ind w:left="7560" w:hanging="180"/>
      </w:pPr>
    </w:lvl>
  </w:abstractNum>
  <w:abstractNum w:abstractNumId="22" w15:restartNumberingAfterBreak="0">
    <w:nsid w:val="52F36F45"/>
    <w:multiLevelType w:val="hybridMultilevel"/>
    <w:tmpl w:val="A40CE454"/>
    <w:lvl w:ilvl="0" w:tplc="7AD26A20">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4B60D41"/>
    <w:multiLevelType w:val="hybridMultilevel"/>
    <w:tmpl w:val="2C4E0C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B3E1BEA"/>
    <w:multiLevelType w:val="hybridMultilevel"/>
    <w:tmpl w:val="15F832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C5C7FBD"/>
    <w:multiLevelType w:val="hybridMultilevel"/>
    <w:tmpl w:val="A0F083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5D6B1B96"/>
    <w:multiLevelType w:val="hybridMultilevel"/>
    <w:tmpl w:val="4E3CE4E8"/>
    <w:lvl w:ilvl="0" w:tplc="093210D6">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13734B6"/>
    <w:multiLevelType w:val="hybridMultilevel"/>
    <w:tmpl w:val="E5847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2301A4E"/>
    <w:multiLevelType w:val="hybridMultilevel"/>
    <w:tmpl w:val="ADD65B3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2966BD5"/>
    <w:multiLevelType w:val="hybridMultilevel"/>
    <w:tmpl w:val="B1F0D3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41C6044"/>
    <w:multiLevelType w:val="hybridMultilevel"/>
    <w:tmpl w:val="C7EEA7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5763BE6"/>
    <w:multiLevelType w:val="hybridMultilevel"/>
    <w:tmpl w:val="D7740112"/>
    <w:lvl w:ilvl="0" w:tplc="5FCC8768">
      <w:start w:val="1"/>
      <w:numFmt w:val="lowerLetter"/>
      <w:lvlText w:val="%1."/>
      <w:lvlJc w:val="left"/>
      <w:pPr>
        <w:ind w:left="720" w:hanging="360"/>
      </w:pPr>
    </w:lvl>
    <w:lvl w:ilvl="1" w:tplc="06F07A92">
      <w:start w:val="1"/>
      <w:numFmt w:val="lowerRoman"/>
      <w:lvlText w:val="%2."/>
      <w:lvlJc w:val="right"/>
      <w:pPr>
        <w:ind w:left="1440" w:hanging="360"/>
      </w:pPr>
    </w:lvl>
    <w:lvl w:ilvl="2" w:tplc="D29658FE">
      <w:start w:val="1"/>
      <w:numFmt w:val="lowerRoman"/>
      <w:lvlText w:val="%3."/>
      <w:lvlJc w:val="right"/>
      <w:pPr>
        <w:ind w:left="2160" w:hanging="180"/>
      </w:pPr>
    </w:lvl>
    <w:lvl w:ilvl="3" w:tplc="766A3220">
      <w:start w:val="1"/>
      <w:numFmt w:val="decimal"/>
      <w:lvlText w:val="%4."/>
      <w:lvlJc w:val="left"/>
      <w:pPr>
        <w:ind w:left="2880" w:hanging="360"/>
      </w:pPr>
    </w:lvl>
    <w:lvl w:ilvl="4" w:tplc="4EFC7ACA">
      <w:start w:val="1"/>
      <w:numFmt w:val="lowerLetter"/>
      <w:lvlText w:val="%5."/>
      <w:lvlJc w:val="left"/>
      <w:pPr>
        <w:ind w:left="3600" w:hanging="360"/>
      </w:pPr>
    </w:lvl>
    <w:lvl w:ilvl="5" w:tplc="05249594">
      <w:start w:val="1"/>
      <w:numFmt w:val="lowerRoman"/>
      <w:lvlText w:val="%6."/>
      <w:lvlJc w:val="right"/>
      <w:pPr>
        <w:ind w:left="4320" w:hanging="180"/>
      </w:pPr>
    </w:lvl>
    <w:lvl w:ilvl="6" w:tplc="CD0CB9FA">
      <w:start w:val="1"/>
      <w:numFmt w:val="decimal"/>
      <w:lvlText w:val="%7."/>
      <w:lvlJc w:val="left"/>
      <w:pPr>
        <w:ind w:left="5040" w:hanging="360"/>
      </w:pPr>
    </w:lvl>
    <w:lvl w:ilvl="7" w:tplc="21426598">
      <w:start w:val="1"/>
      <w:numFmt w:val="lowerLetter"/>
      <w:lvlText w:val="%8."/>
      <w:lvlJc w:val="left"/>
      <w:pPr>
        <w:ind w:left="5760" w:hanging="360"/>
      </w:pPr>
    </w:lvl>
    <w:lvl w:ilvl="8" w:tplc="00FC2008">
      <w:start w:val="1"/>
      <w:numFmt w:val="lowerRoman"/>
      <w:lvlText w:val="%9."/>
      <w:lvlJc w:val="right"/>
      <w:pPr>
        <w:ind w:left="6480" w:hanging="180"/>
      </w:pPr>
    </w:lvl>
  </w:abstractNum>
  <w:abstractNum w:abstractNumId="32" w15:restartNumberingAfterBreak="0">
    <w:nsid w:val="6630F46B"/>
    <w:multiLevelType w:val="hybridMultilevel"/>
    <w:tmpl w:val="E6B40558"/>
    <w:lvl w:ilvl="0" w:tplc="5888C984">
      <w:start w:val="1"/>
      <w:numFmt w:val="bullet"/>
      <w:lvlText w:val=""/>
      <w:lvlJc w:val="left"/>
      <w:pPr>
        <w:ind w:left="720" w:hanging="360"/>
      </w:pPr>
      <w:rPr>
        <w:rFonts w:hint="default" w:ascii="Symbol" w:hAnsi="Symbol"/>
      </w:rPr>
    </w:lvl>
    <w:lvl w:ilvl="1" w:tplc="45CCF112">
      <w:start w:val="1"/>
      <w:numFmt w:val="bullet"/>
      <w:lvlText w:val="o"/>
      <w:lvlJc w:val="left"/>
      <w:pPr>
        <w:ind w:left="1440" w:hanging="360"/>
      </w:pPr>
      <w:rPr>
        <w:rFonts w:hint="default" w:ascii="Courier New" w:hAnsi="Courier New"/>
      </w:rPr>
    </w:lvl>
    <w:lvl w:ilvl="2" w:tplc="D74C3924">
      <w:start w:val="1"/>
      <w:numFmt w:val="bullet"/>
      <w:lvlText w:val=""/>
      <w:lvlJc w:val="left"/>
      <w:pPr>
        <w:ind w:left="2160" w:hanging="360"/>
      </w:pPr>
      <w:rPr>
        <w:rFonts w:hint="default" w:ascii="Wingdings" w:hAnsi="Wingdings"/>
      </w:rPr>
    </w:lvl>
    <w:lvl w:ilvl="3" w:tplc="8EEC6B6E">
      <w:start w:val="1"/>
      <w:numFmt w:val="bullet"/>
      <w:lvlText w:val=""/>
      <w:lvlJc w:val="left"/>
      <w:pPr>
        <w:ind w:left="2880" w:hanging="360"/>
      </w:pPr>
      <w:rPr>
        <w:rFonts w:hint="default" w:ascii="Symbol" w:hAnsi="Symbol"/>
      </w:rPr>
    </w:lvl>
    <w:lvl w:ilvl="4" w:tplc="EABA78A4">
      <w:start w:val="1"/>
      <w:numFmt w:val="bullet"/>
      <w:lvlText w:val="o"/>
      <w:lvlJc w:val="left"/>
      <w:pPr>
        <w:ind w:left="3600" w:hanging="360"/>
      </w:pPr>
      <w:rPr>
        <w:rFonts w:hint="default" w:ascii="Courier New" w:hAnsi="Courier New"/>
      </w:rPr>
    </w:lvl>
    <w:lvl w:ilvl="5" w:tplc="CFA0ACEC">
      <w:start w:val="1"/>
      <w:numFmt w:val="bullet"/>
      <w:lvlText w:val=""/>
      <w:lvlJc w:val="left"/>
      <w:pPr>
        <w:ind w:left="4320" w:hanging="360"/>
      </w:pPr>
      <w:rPr>
        <w:rFonts w:hint="default" w:ascii="Wingdings" w:hAnsi="Wingdings"/>
      </w:rPr>
    </w:lvl>
    <w:lvl w:ilvl="6" w:tplc="5E4E6556">
      <w:start w:val="1"/>
      <w:numFmt w:val="bullet"/>
      <w:lvlText w:val=""/>
      <w:lvlJc w:val="left"/>
      <w:pPr>
        <w:ind w:left="5040" w:hanging="360"/>
      </w:pPr>
      <w:rPr>
        <w:rFonts w:hint="default" w:ascii="Symbol" w:hAnsi="Symbol"/>
      </w:rPr>
    </w:lvl>
    <w:lvl w:ilvl="7" w:tplc="EE1897E4">
      <w:start w:val="1"/>
      <w:numFmt w:val="bullet"/>
      <w:lvlText w:val="o"/>
      <w:lvlJc w:val="left"/>
      <w:pPr>
        <w:ind w:left="5760" w:hanging="360"/>
      </w:pPr>
      <w:rPr>
        <w:rFonts w:hint="default" w:ascii="Courier New" w:hAnsi="Courier New"/>
      </w:rPr>
    </w:lvl>
    <w:lvl w:ilvl="8" w:tplc="8F820BE6">
      <w:start w:val="1"/>
      <w:numFmt w:val="bullet"/>
      <w:lvlText w:val=""/>
      <w:lvlJc w:val="left"/>
      <w:pPr>
        <w:ind w:left="6480" w:hanging="360"/>
      </w:pPr>
      <w:rPr>
        <w:rFonts w:hint="default" w:ascii="Wingdings" w:hAnsi="Wingdings"/>
      </w:rPr>
    </w:lvl>
  </w:abstractNum>
  <w:abstractNum w:abstractNumId="33" w15:restartNumberingAfterBreak="0">
    <w:nsid w:val="6ED35B4E"/>
    <w:multiLevelType w:val="hybridMultilevel"/>
    <w:tmpl w:val="0DE44D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46F22FE"/>
    <w:multiLevelType w:val="hybridMultilevel"/>
    <w:tmpl w:val="A252A51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754405B2"/>
    <w:multiLevelType w:val="hybridMultilevel"/>
    <w:tmpl w:val="64964AE4"/>
    <w:lvl w:ilvl="0" w:tplc="CC8A7C98">
      <w:start w:val="1"/>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54C468A"/>
    <w:multiLevelType w:val="hybridMultilevel"/>
    <w:tmpl w:val="D6CAA9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9B1556A"/>
    <w:multiLevelType w:val="hybridMultilevel"/>
    <w:tmpl w:val="2E9A3710"/>
    <w:lvl w:ilvl="0" w:tplc="7AD26A20">
      <w:start w:val="5"/>
      <w:numFmt w:val="bullet"/>
      <w:lvlText w:val="-"/>
      <w:lvlJc w:val="left"/>
      <w:pPr>
        <w:ind w:left="1440" w:hanging="360"/>
      </w:pPr>
      <w:rPr>
        <w:rFonts w:hint="default" w:ascii="Calibri" w:hAnsi="Calibri" w:cs="Calibri" w:eastAsiaTheme="minorHAns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8" w15:restartNumberingAfterBreak="0">
    <w:nsid w:val="7F616ED3"/>
    <w:multiLevelType w:val="hybridMultilevel"/>
    <w:tmpl w:val="FC26C644"/>
    <w:lvl w:ilvl="0" w:tplc="EDC4253C">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2"/>
  </w:num>
  <w:num w:numId="2">
    <w:abstractNumId w:val="21"/>
  </w:num>
  <w:num w:numId="3">
    <w:abstractNumId w:val="31"/>
  </w:num>
  <w:num w:numId="4">
    <w:abstractNumId w:val="11"/>
  </w:num>
  <w:num w:numId="5">
    <w:abstractNumId w:val="10"/>
  </w:num>
  <w:num w:numId="6">
    <w:abstractNumId w:val="25"/>
  </w:num>
  <w:num w:numId="7">
    <w:abstractNumId w:val="36"/>
  </w:num>
  <w:num w:numId="8">
    <w:abstractNumId w:val="0"/>
  </w:num>
  <w:num w:numId="9">
    <w:abstractNumId w:val="23"/>
  </w:num>
  <w:num w:numId="10">
    <w:abstractNumId w:val="18"/>
  </w:num>
  <w:num w:numId="11">
    <w:abstractNumId w:val="24"/>
  </w:num>
  <w:num w:numId="12">
    <w:abstractNumId w:val="15"/>
  </w:num>
  <w:num w:numId="13">
    <w:abstractNumId w:val="6"/>
  </w:num>
  <w:num w:numId="14">
    <w:abstractNumId w:val="13"/>
  </w:num>
  <w:num w:numId="15">
    <w:abstractNumId w:val="19"/>
  </w:num>
  <w:num w:numId="16">
    <w:abstractNumId w:val="8"/>
  </w:num>
  <w:num w:numId="17">
    <w:abstractNumId w:val="5"/>
  </w:num>
  <w:num w:numId="18">
    <w:abstractNumId w:val="34"/>
  </w:num>
  <w:num w:numId="19">
    <w:abstractNumId w:val="33"/>
  </w:num>
  <w:num w:numId="20">
    <w:abstractNumId w:val="3"/>
  </w:num>
  <w:num w:numId="21">
    <w:abstractNumId w:val="17"/>
  </w:num>
  <w:num w:numId="22">
    <w:abstractNumId w:val="14"/>
  </w:num>
  <w:num w:numId="23">
    <w:abstractNumId w:val="38"/>
  </w:num>
  <w:num w:numId="24">
    <w:abstractNumId w:val="30"/>
  </w:num>
  <w:num w:numId="25">
    <w:abstractNumId w:val="16"/>
  </w:num>
  <w:num w:numId="26">
    <w:abstractNumId w:val="29"/>
  </w:num>
  <w:num w:numId="27">
    <w:abstractNumId w:val="12"/>
  </w:num>
  <w:num w:numId="28">
    <w:abstractNumId w:val="26"/>
  </w:num>
  <w:num w:numId="29">
    <w:abstractNumId w:val="35"/>
  </w:num>
  <w:num w:numId="30">
    <w:abstractNumId w:val="2"/>
  </w:num>
  <w:num w:numId="31">
    <w:abstractNumId w:val="4"/>
  </w:num>
  <w:num w:numId="32">
    <w:abstractNumId w:val="22"/>
  </w:num>
  <w:num w:numId="33">
    <w:abstractNumId w:val="37"/>
  </w:num>
  <w:num w:numId="34">
    <w:abstractNumId w:val="27"/>
  </w:num>
  <w:num w:numId="35">
    <w:abstractNumId w:val="28"/>
  </w:num>
  <w:num w:numId="36">
    <w:abstractNumId w:val="7"/>
  </w:num>
  <w:num w:numId="37">
    <w:abstractNumId w:val="9"/>
  </w:num>
  <w:num w:numId="38">
    <w:abstractNumId w:val="1"/>
  </w:num>
  <w:num w:numId="39">
    <w:abstractNumId w:val="2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4DF"/>
    <w:rsid w:val="000014DF"/>
    <w:rsid w:val="000137FE"/>
    <w:rsid w:val="00020387"/>
    <w:rsid w:val="0002042E"/>
    <w:rsid w:val="0003220D"/>
    <w:rsid w:val="00051EE1"/>
    <w:rsid w:val="0005229A"/>
    <w:rsid w:val="0005254E"/>
    <w:rsid w:val="00076C09"/>
    <w:rsid w:val="00076F9A"/>
    <w:rsid w:val="000A2F86"/>
    <w:rsid w:val="000A37AB"/>
    <w:rsid w:val="000C057B"/>
    <w:rsid w:val="000C276B"/>
    <w:rsid w:val="000C55CE"/>
    <w:rsid w:val="000E2237"/>
    <w:rsid w:val="000E5451"/>
    <w:rsid w:val="000F0FE3"/>
    <w:rsid w:val="000F4E0D"/>
    <w:rsid w:val="000F635B"/>
    <w:rsid w:val="00114EB4"/>
    <w:rsid w:val="0013367C"/>
    <w:rsid w:val="001338F2"/>
    <w:rsid w:val="00136267"/>
    <w:rsid w:val="00162852"/>
    <w:rsid w:val="00163EB1"/>
    <w:rsid w:val="00171BF3"/>
    <w:rsid w:val="00176221"/>
    <w:rsid w:val="001778EC"/>
    <w:rsid w:val="00180E33"/>
    <w:rsid w:val="001826CA"/>
    <w:rsid w:val="00184C1E"/>
    <w:rsid w:val="00194533"/>
    <w:rsid w:val="001956B1"/>
    <w:rsid w:val="001A05AC"/>
    <w:rsid w:val="001A6B17"/>
    <w:rsid w:val="001C1E53"/>
    <w:rsid w:val="001C46DB"/>
    <w:rsid w:val="001D1CE3"/>
    <w:rsid w:val="001D4AB8"/>
    <w:rsid w:val="001F2CFF"/>
    <w:rsid w:val="001F429C"/>
    <w:rsid w:val="001F468A"/>
    <w:rsid w:val="002006F3"/>
    <w:rsid w:val="00204FD4"/>
    <w:rsid w:val="00205712"/>
    <w:rsid w:val="002119F1"/>
    <w:rsid w:val="00235FBE"/>
    <w:rsid w:val="00237CA5"/>
    <w:rsid w:val="0024184A"/>
    <w:rsid w:val="00241898"/>
    <w:rsid w:val="00242773"/>
    <w:rsid w:val="002448B3"/>
    <w:rsid w:val="002471AD"/>
    <w:rsid w:val="00247ADB"/>
    <w:rsid w:val="00247EDD"/>
    <w:rsid w:val="00251BF4"/>
    <w:rsid w:val="00251CB7"/>
    <w:rsid w:val="002575D9"/>
    <w:rsid w:val="002756FE"/>
    <w:rsid w:val="00276364"/>
    <w:rsid w:val="0028001B"/>
    <w:rsid w:val="00290D50"/>
    <w:rsid w:val="00292481"/>
    <w:rsid w:val="00292654"/>
    <w:rsid w:val="002A60B9"/>
    <w:rsid w:val="002B7A36"/>
    <w:rsid w:val="002F5CCD"/>
    <w:rsid w:val="003021B1"/>
    <w:rsid w:val="00306BB9"/>
    <w:rsid w:val="00335316"/>
    <w:rsid w:val="00335FAE"/>
    <w:rsid w:val="003445EF"/>
    <w:rsid w:val="00354565"/>
    <w:rsid w:val="00354BCC"/>
    <w:rsid w:val="00357CC5"/>
    <w:rsid w:val="003633BF"/>
    <w:rsid w:val="00375479"/>
    <w:rsid w:val="003B2AC8"/>
    <w:rsid w:val="003D4CEE"/>
    <w:rsid w:val="003D88FF"/>
    <w:rsid w:val="003E3C0C"/>
    <w:rsid w:val="003E5945"/>
    <w:rsid w:val="003F07CD"/>
    <w:rsid w:val="003F25C3"/>
    <w:rsid w:val="004039DF"/>
    <w:rsid w:val="00403CB3"/>
    <w:rsid w:val="0040489D"/>
    <w:rsid w:val="00404C59"/>
    <w:rsid w:val="00415805"/>
    <w:rsid w:val="00430EB0"/>
    <w:rsid w:val="0043135F"/>
    <w:rsid w:val="00435483"/>
    <w:rsid w:val="004367CC"/>
    <w:rsid w:val="00437FE3"/>
    <w:rsid w:val="004408A0"/>
    <w:rsid w:val="00445EF6"/>
    <w:rsid w:val="004516F4"/>
    <w:rsid w:val="00451AE4"/>
    <w:rsid w:val="00454EAD"/>
    <w:rsid w:val="004575AD"/>
    <w:rsid w:val="00496D5A"/>
    <w:rsid w:val="004A2B19"/>
    <w:rsid w:val="004B1EE5"/>
    <w:rsid w:val="004B35A2"/>
    <w:rsid w:val="004C3340"/>
    <w:rsid w:val="004D26D4"/>
    <w:rsid w:val="004E26EE"/>
    <w:rsid w:val="004F364B"/>
    <w:rsid w:val="00500830"/>
    <w:rsid w:val="005078A0"/>
    <w:rsid w:val="00507D19"/>
    <w:rsid w:val="00510AF0"/>
    <w:rsid w:val="005115ED"/>
    <w:rsid w:val="0051695B"/>
    <w:rsid w:val="0052279A"/>
    <w:rsid w:val="00532A7A"/>
    <w:rsid w:val="0054222E"/>
    <w:rsid w:val="00561DC3"/>
    <w:rsid w:val="00563FD2"/>
    <w:rsid w:val="00565704"/>
    <w:rsid w:val="00565D22"/>
    <w:rsid w:val="0057691E"/>
    <w:rsid w:val="005869C8"/>
    <w:rsid w:val="005A3F15"/>
    <w:rsid w:val="005B209D"/>
    <w:rsid w:val="005B5F67"/>
    <w:rsid w:val="005D68DC"/>
    <w:rsid w:val="005D72DE"/>
    <w:rsid w:val="005E138B"/>
    <w:rsid w:val="005F5650"/>
    <w:rsid w:val="006000ED"/>
    <w:rsid w:val="00604683"/>
    <w:rsid w:val="00604F9F"/>
    <w:rsid w:val="0061191C"/>
    <w:rsid w:val="00617982"/>
    <w:rsid w:val="00622587"/>
    <w:rsid w:val="00624406"/>
    <w:rsid w:val="00630A6E"/>
    <w:rsid w:val="0063618F"/>
    <w:rsid w:val="006367C6"/>
    <w:rsid w:val="006369B9"/>
    <w:rsid w:val="00641426"/>
    <w:rsid w:val="00646B1E"/>
    <w:rsid w:val="0066208E"/>
    <w:rsid w:val="00666625"/>
    <w:rsid w:val="00667B21"/>
    <w:rsid w:val="00676346"/>
    <w:rsid w:val="00682F86"/>
    <w:rsid w:val="006954E2"/>
    <w:rsid w:val="006C1C10"/>
    <w:rsid w:val="006D3436"/>
    <w:rsid w:val="006D4204"/>
    <w:rsid w:val="006D5A99"/>
    <w:rsid w:val="006D641F"/>
    <w:rsid w:val="006E2D16"/>
    <w:rsid w:val="006E413F"/>
    <w:rsid w:val="006E476D"/>
    <w:rsid w:val="006F0C5E"/>
    <w:rsid w:val="006F0DF2"/>
    <w:rsid w:val="006F1305"/>
    <w:rsid w:val="007000D0"/>
    <w:rsid w:val="0070291A"/>
    <w:rsid w:val="0070744C"/>
    <w:rsid w:val="00707CEB"/>
    <w:rsid w:val="00710D59"/>
    <w:rsid w:val="00713F15"/>
    <w:rsid w:val="00740EAA"/>
    <w:rsid w:val="0076005B"/>
    <w:rsid w:val="00760B27"/>
    <w:rsid w:val="00763C3A"/>
    <w:rsid w:val="00775C2B"/>
    <w:rsid w:val="007766A7"/>
    <w:rsid w:val="00784A8C"/>
    <w:rsid w:val="0079B92A"/>
    <w:rsid w:val="007B1EBB"/>
    <w:rsid w:val="007B4933"/>
    <w:rsid w:val="007C2B9E"/>
    <w:rsid w:val="007C2D0C"/>
    <w:rsid w:val="007C3B09"/>
    <w:rsid w:val="007E2098"/>
    <w:rsid w:val="00806743"/>
    <w:rsid w:val="00812CFF"/>
    <w:rsid w:val="0081490C"/>
    <w:rsid w:val="008279E5"/>
    <w:rsid w:val="008457CA"/>
    <w:rsid w:val="00851939"/>
    <w:rsid w:val="008552F2"/>
    <w:rsid w:val="00866613"/>
    <w:rsid w:val="00871F81"/>
    <w:rsid w:val="008A0A9D"/>
    <w:rsid w:val="008A2E4C"/>
    <w:rsid w:val="008B0772"/>
    <w:rsid w:val="008B4471"/>
    <w:rsid w:val="008B4D8D"/>
    <w:rsid w:val="008C3DBF"/>
    <w:rsid w:val="008D543F"/>
    <w:rsid w:val="008F31A8"/>
    <w:rsid w:val="00903584"/>
    <w:rsid w:val="00903BA3"/>
    <w:rsid w:val="00903C58"/>
    <w:rsid w:val="009074D9"/>
    <w:rsid w:val="00907E8F"/>
    <w:rsid w:val="00912EA5"/>
    <w:rsid w:val="00915AEE"/>
    <w:rsid w:val="00915F7B"/>
    <w:rsid w:val="009414C1"/>
    <w:rsid w:val="00945714"/>
    <w:rsid w:val="009468E7"/>
    <w:rsid w:val="00946D27"/>
    <w:rsid w:val="00952720"/>
    <w:rsid w:val="009569BC"/>
    <w:rsid w:val="00957919"/>
    <w:rsid w:val="009604C5"/>
    <w:rsid w:val="00964B84"/>
    <w:rsid w:val="00967EE0"/>
    <w:rsid w:val="00974677"/>
    <w:rsid w:val="00983176"/>
    <w:rsid w:val="00987403"/>
    <w:rsid w:val="00987A81"/>
    <w:rsid w:val="00997276"/>
    <w:rsid w:val="009A5243"/>
    <w:rsid w:val="009A5DAC"/>
    <w:rsid w:val="009A7C9B"/>
    <w:rsid w:val="009B1577"/>
    <w:rsid w:val="009B508D"/>
    <w:rsid w:val="009C6C3F"/>
    <w:rsid w:val="009E1EC9"/>
    <w:rsid w:val="009F2258"/>
    <w:rsid w:val="00A12DF1"/>
    <w:rsid w:val="00A30A4F"/>
    <w:rsid w:val="00A3255B"/>
    <w:rsid w:val="00A36545"/>
    <w:rsid w:val="00A41B8F"/>
    <w:rsid w:val="00A4285C"/>
    <w:rsid w:val="00A43BF4"/>
    <w:rsid w:val="00A440CE"/>
    <w:rsid w:val="00A55967"/>
    <w:rsid w:val="00A55A76"/>
    <w:rsid w:val="00A75002"/>
    <w:rsid w:val="00A777B2"/>
    <w:rsid w:val="00A94456"/>
    <w:rsid w:val="00AA3DEC"/>
    <w:rsid w:val="00AA5534"/>
    <w:rsid w:val="00AB629C"/>
    <w:rsid w:val="00AC1303"/>
    <w:rsid w:val="00AC210F"/>
    <w:rsid w:val="00AC3563"/>
    <w:rsid w:val="00AC3B8A"/>
    <w:rsid w:val="00AD14F6"/>
    <w:rsid w:val="00AD3464"/>
    <w:rsid w:val="00AF2321"/>
    <w:rsid w:val="00AF513F"/>
    <w:rsid w:val="00AF56AA"/>
    <w:rsid w:val="00B23BB9"/>
    <w:rsid w:val="00B269E0"/>
    <w:rsid w:val="00B30FA9"/>
    <w:rsid w:val="00B361E9"/>
    <w:rsid w:val="00B52CC5"/>
    <w:rsid w:val="00B5763C"/>
    <w:rsid w:val="00B63657"/>
    <w:rsid w:val="00BA56E2"/>
    <w:rsid w:val="00BB0668"/>
    <w:rsid w:val="00BB3155"/>
    <w:rsid w:val="00BB3F3E"/>
    <w:rsid w:val="00BB4D51"/>
    <w:rsid w:val="00BB5633"/>
    <w:rsid w:val="00BC2E72"/>
    <w:rsid w:val="00BC5965"/>
    <w:rsid w:val="00BD443C"/>
    <w:rsid w:val="00BE31C6"/>
    <w:rsid w:val="00BE4B66"/>
    <w:rsid w:val="00BE52A2"/>
    <w:rsid w:val="00BE69D1"/>
    <w:rsid w:val="00BE6A63"/>
    <w:rsid w:val="00BF50D0"/>
    <w:rsid w:val="00C0568A"/>
    <w:rsid w:val="00C15C4A"/>
    <w:rsid w:val="00C17316"/>
    <w:rsid w:val="00C21FD6"/>
    <w:rsid w:val="00C30C6A"/>
    <w:rsid w:val="00C3317F"/>
    <w:rsid w:val="00C359F5"/>
    <w:rsid w:val="00C37AA0"/>
    <w:rsid w:val="00C470AB"/>
    <w:rsid w:val="00C65E3D"/>
    <w:rsid w:val="00C675B4"/>
    <w:rsid w:val="00C74A0A"/>
    <w:rsid w:val="00C908D8"/>
    <w:rsid w:val="00C97C40"/>
    <w:rsid w:val="00CB4EC1"/>
    <w:rsid w:val="00CC60DB"/>
    <w:rsid w:val="00CC6143"/>
    <w:rsid w:val="00CD0E08"/>
    <w:rsid w:val="00CE3EE8"/>
    <w:rsid w:val="00CF4B6D"/>
    <w:rsid w:val="00D034DD"/>
    <w:rsid w:val="00D10C68"/>
    <w:rsid w:val="00D14D5E"/>
    <w:rsid w:val="00D211FF"/>
    <w:rsid w:val="00D212F0"/>
    <w:rsid w:val="00D26C26"/>
    <w:rsid w:val="00D26DDB"/>
    <w:rsid w:val="00D30033"/>
    <w:rsid w:val="00D82E29"/>
    <w:rsid w:val="00D93D23"/>
    <w:rsid w:val="00D954BC"/>
    <w:rsid w:val="00DB67DD"/>
    <w:rsid w:val="00DC1AFC"/>
    <w:rsid w:val="00DC4392"/>
    <w:rsid w:val="00DC540C"/>
    <w:rsid w:val="00DD03A5"/>
    <w:rsid w:val="00DD2108"/>
    <w:rsid w:val="00DD6E06"/>
    <w:rsid w:val="00DF356C"/>
    <w:rsid w:val="00E032FF"/>
    <w:rsid w:val="00E06E2F"/>
    <w:rsid w:val="00E11508"/>
    <w:rsid w:val="00E27080"/>
    <w:rsid w:val="00E34143"/>
    <w:rsid w:val="00E4750B"/>
    <w:rsid w:val="00E47AEF"/>
    <w:rsid w:val="00E536AB"/>
    <w:rsid w:val="00E56516"/>
    <w:rsid w:val="00E61308"/>
    <w:rsid w:val="00E62C40"/>
    <w:rsid w:val="00E67521"/>
    <w:rsid w:val="00E70339"/>
    <w:rsid w:val="00E7140A"/>
    <w:rsid w:val="00E81DEB"/>
    <w:rsid w:val="00EA2783"/>
    <w:rsid w:val="00EB438B"/>
    <w:rsid w:val="00EC110E"/>
    <w:rsid w:val="00EC2A36"/>
    <w:rsid w:val="00ED35F5"/>
    <w:rsid w:val="00F015DD"/>
    <w:rsid w:val="00F01E4F"/>
    <w:rsid w:val="00F01EA1"/>
    <w:rsid w:val="00F0304D"/>
    <w:rsid w:val="00F10961"/>
    <w:rsid w:val="00F41E68"/>
    <w:rsid w:val="00F45FE4"/>
    <w:rsid w:val="00F52B7D"/>
    <w:rsid w:val="00F85336"/>
    <w:rsid w:val="00F908C4"/>
    <w:rsid w:val="00F92F86"/>
    <w:rsid w:val="00F96D76"/>
    <w:rsid w:val="00FA18EA"/>
    <w:rsid w:val="00FA19AF"/>
    <w:rsid w:val="00FA26CD"/>
    <w:rsid w:val="00FA2719"/>
    <w:rsid w:val="00FA6C1C"/>
    <w:rsid w:val="00FB09BC"/>
    <w:rsid w:val="00FC2896"/>
    <w:rsid w:val="00FD04F0"/>
    <w:rsid w:val="00FD1703"/>
    <w:rsid w:val="00FE268C"/>
    <w:rsid w:val="00FF10C8"/>
    <w:rsid w:val="00FF5645"/>
    <w:rsid w:val="00FF5CD9"/>
    <w:rsid w:val="02415648"/>
    <w:rsid w:val="02D0ACAC"/>
    <w:rsid w:val="02D14BF3"/>
    <w:rsid w:val="03810D68"/>
    <w:rsid w:val="03AA74E9"/>
    <w:rsid w:val="03BC965A"/>
    <w:rsid w:val="03D27A35"/>
    <w:rsid w:val="04917C2F"/>
    <w:rsid w:val="04C44DDD"/>
    <w:rsid w:val="04EF4FF7"/>
    <w:rsid w:val="0504F7CD"/>
    <w:rsid w:val="0515978F"/>
    <w:rsid w:val="0597DD3F"/>
    <w:rsid w:val="062825AE"/>
    <w:rsid w:val="063CD851"/>
    <w:rsid w:val="0720F5D7"/>
    <w:rsid w:val="078A8059"/>
    <w:rsid w:val="07EA6D03"/>
    <w:rsid w:val="0882DA7E"/>
    <w:rsid w:val="094A69F6"/>
    <w:rsid w:val="09C64A6F"/>
    <w:rsid w:val="09D7538B"/>
    <w:rsid w:val="0A66E626"/>
    <w:rsid w:val="0BEFE70B"/>
    <w:rsid w:val="0C9DD969"/>
    <w:rsid w:val="0CAFE61B"/>
    <w:rsid w:val="0CC6CD64"/>
    <w:rsid w:val="0D135888"/>
    <w:rsid w:val="0D5FFF0A"/>
    <w:rsid w:val="0D8BB76C"/>
    <w:rsid w:val="0F2787CD"/>
    <w:rsid w:val="0FEDEF31"/>
    <w:rsid w:val="11E8CB21"/>
    <w:rsid w:val="13BC8465"/>
    <w:rsid w:val="13DF293F"/>
    <w:rsid w:val="149F7590"/>
    <w:rsid w:val="14E476ED"/>
    <w:rsid w:val="15208DC5"/>
    <w:rsid w:val="15342DC1"/>
    <w:rsid w:val="157DA0F4"/>
    <w:rsid w:val="1686BDD1"/>
    <w:rsid w:val="1763A3A0"/>
    <w:rsid w:val="17A21288"/>
    <w:rsid w:val="18DDC625"/>
    <w:rsid w:val="1A394E86"/>
    <w:rsid w:val="1A61F403"/>
    <w:rsid w:val="1B194BBC"/>
    <w:rsid w:val="1B440919"/>
    <w:rsid w:val="1B9E0CD9"/>
    <w:rsid w:val="1BC4B774"/>
    <w:rsid w:val="1BEBF5C2"/>
    <w:rsid w:val="1C269427"/>
    <w:rsid w:val="1C828D82"/>
    <w:rsid w:val="1C95FA7C"/>
    <w:rsid w:val="1D367030"/>
    <w:rsid w:val="1D8DF5F4"/>
    <w:rsid w:val="1DA9B6AC"/>
    <w:rsid w:val="1DBAC4F1"/>
    <w:rsid w:val="1DF21B54"/>
    <w:rsid w:val="1DF76397"/>
    <w:rsid w:val="1E334DA4"/>
    <w:rsid w:val="1F8A598A"/>
    <w:rsid w:val="202F3F36"/>
    <w:rsid w:val="20579E56"/>
    <w:rsid w:val="2072EAB9"/>
    <w:rsid w:val="208C0DD6"/>
    <w:rsid w:val="208D559F"/>
    <w:rsid w:val="211EB5A1"/>
    <w:rsid w:val="21C0BF30"/>
    <w:rsid w:val="22107632"/>
    <w:rsid w:val="22705C3C"/>
    <w:rsid w:val="22D8F186"/>
    <w:rsid w:val="232F5574"/>
    <w:rsid w:val="2336BE92"/>
    <w:rsid w:val="2402E245"/>
    <w:rsid w:val="246260EA"/>
    <w:rsid w:val="256AE297"/>
    <w:rsid w:val="26446D1D"/>
    <w:rsid w:val="26984357"/>
    <w:rsid w:val="280A2FB5"/>
    <w:rsid w:val="2883E5C6"/>
    <w:rsid w:val="28D35306"/>
    <w:rsid w:val="2AAA498D"/>
    <w:rsid w:val="2C452105"/>
    <w:rsid w:val="2C4EBBC7"/>
    <w:rsid w:val="2CF45A38"/>
    <w:rsid w:val="2D704F6C"/>
    <w:rsid w:val="2FCDEF45"/>
    <w:rsid w:val="302D206F"/>
    <w:rsid w:val="314FFB16"/>
    <w:rsid w:val="32136A0C"/>
    <w:rsid w:val="325639CE"/>
    <w:rsid w:val="3273AD63"/>
    <w:rsid w:val="32A808A9"/>
    <w:rsid w:val="33149B3D"/>
    <w:rsid w:val="331C783E"/>
    <w:rsid w:val="34ADDFAF"/>
    <w:rsid w:val="35902386"/>
    <w:rsid w:val="3631F109"/>
    <w:rsid w:val="364F8FD5"/>
    <w:rsid w:val="370C1652"/>
    <w:rsid w:val="389A1F72"/>
    <w:rsid w:val="38A7282C"/>
    <w:rsid w:val="38D0104A"/>
    <w:rsid w:val="390ED1F6"/>
    <w:rsid w:val="39100012"/>
    <w:rsid w:val="39AEB803"/>
    <w:rsid w:val="39E5F5DF"/>
    <w:rsid w:val="3C070546"/>
    <w:rsid w:val="3C906606"/>
    <w:rsid w:val="3CFEC15A"/>
    <w:rsid w:val="3D6B7D2D"/>
    <w:rsid w:val="3D8AD633"/>
    <w:rsid w:val="3D92E0E0"/>
    <w:rsid w:val="3DDE6AC7"/>
    <w:rsid w:val="3DE0ADFD"/>
    <w:rsid w:val="3EC790B2"/>
    <w:rsid w:val="3F68CA83"/>
    <w:rsid w:val="3F901D80"/>
    <w:rsid w:val="3F91BBA3"/>
    <w:rsid w:val="3FD6EAC6"/>
    <w:rsid w:val="4034C0AF"/>
    <w:rsid w:val="40D81AD5"/>
    <w:rsid w:val="42027EC1"/>
    <w:rsid w:val="423F7826"/>
    <w:rsid w:val="43113619"/>
    <w:rsid w:val="4324327F"/>
    <w:rsid w:val="43282CA4"/>
    <w:rsid w:val="43B8150C"/>
    <w:rsid w:val="445501AA"/>
    <w:rsid w:val="4539047C"/>
    <w:rsid w:val="45924C7A"/>
    <w:rsid w:val="459DE2EA"/>
    <w:rsid w:val="465B2F69"/>
    <w:rsid w:val="473DB418"/>
    <w:rsid w:val="478ED7BC"/>
    <w:rsid w:val="47F776A9"/>
    <w:rsid w:val="489FAF5C"/>
    <w:rsid w:val="48C425EC"/>
    <w:rsid w:val="49011A07"/>
    <w:rsid w:val="4A5FA21F"/>
    <w:rsid w:val="4B53BF45"/>
    <w:rsid w:val="4BB769AE"/>
    <w:rsid w:val="4C2D49B4"/>
    <w:rsid w:val="4CCFD022"/>
    <w:rsid w:val="4E9BC754"/>
    <w:rsid w:val="4F37F9A3"/>
    <w:rsid w:val="50310866"/>
    <w:rsid w:val="5061A746"/>
    <w:rsid w:val="50F8B3EE"/>
    <w:rsid w:val="5146DE5A"/>
    <w:rsid w:val="515ABFB1"/>
    <w:rsid w:val="51AD0775"/>
    <w:rsid w:val="5214347C"/>
    <w:rsid w:val="521FCCDF"/>
    <w:rsid w:val="523C9233"/>
    <w:rsid w:val="52558345"/>
    <w:rsid w:val="526502D9"/>
    <w:rsid w:val="53892F7E"/>
    <w:rsid w:val="53B21EBB"/>
    <w:rsid w:val="53FC4DA8"/>
    <w:rsid w:val="545BB20C"/>
    <w:rsid w:val="54B0E6A0"/>
    <w:rsid w:val="55307A2E"/>
    <w:rsid w:val="55A1C5BD"/>
    <w:rsid w:val="5600C732"/>
    <w:rsid w:val="562BEFDB"/>
    <w:rsid w:val="56547489"/>
    <w:rsid w:val="565D2DF4"/>
    <w:rsid w:val="5715C038"/>
    <w:rsid w:val="579FA2DD"/>
    <w:rsid w:val="57A4333B"/>
    <w:rsid w:val="57D09EE0"/>
    <w:rsid w:val="57F17283"/>
    <w:rsid w:val="58CBEF5B"/>
    <w:rsid w:val="592F232F"/>
    <w:rsid w:val="59360D37"/>
    <w:rsid w:val="5ADB9746"/>
    <w:rsid w:val="5B48F817"/>
    <w:rsid w:val="5BC57044"/>
    <w:rsid w:val="5C183465"/>
    <w:rsid w:val="5C3D4982"/>
    <w:rsid w:val="5C9728DB"/>
    <w:rsid w:val="5D5AA40D"/>
    <w:rsid w:val="5DEBA5B5"/>
    <w:rsid w:val="5EAF057E"/>
    <w:rsid w:val="5F93AF9D"/>
    <w:rsid w:val="5FBDDD1E"/>
    <w:rsid w:val="60FE88F4"/>
    <w:rsid w:val="619C298B"/>
    <w:rsid w:val="61A26344"/>
    <w:rsid w:val="61D107AB"/>
    <w:rsid w:val="61D6AAC6"/>
    <w:rsid w:val="620A0907"/>
    <w:rsid w:val="621E4FDC"/>
    <w:rsid w:val="629641E5"/>
    <w:rsid w:val="62D38000"/>
    <w:rsid w:val="62F71CC1"/>
    <w:rsid w:val="639B7D79"/>
    <w:rsid w:val="63F3D4A7"/>
    <w:rsid w:val="643981D9"/>
    <w:rsid w:val="644A752A"/>
    <w:rsid w:val="647CBA2C"/>
    <w:rsid w:val="648CF827"/>
    <w:rsid w:val="64C9DF7A"/>
    <w:rsid w:val="654858D0"/>
    <w:rsid w:val="65B3E894"/>
    <w:rsid w:val="660DE7BF"/>
    <w:rsid w:val="670499A8"/>
    <w:rsid w:val="682FE504"/>
    <w:rsid w:val="683FEB3A"/>
    <w:rsid w:val="68680419"/>
    <w:rsid w:val="6890AE94"/>
    <w:rsid w:val="68AA5493"/>
    <w:rsid w:val="68BA817D"/>
    <w:rsid w:val="68C71090"/>
    <w:rsid w:val="69A97E5C"/>
    <w:rsid w:val="6A6D945B"/>
    <w:rsid w:val="6CD375EE"/>
    <w:rsid w:val="6CFFE166"/>
    <w:rsid w:val="6D73D832"/>
    <w:rsid w:val="6EA6819E"/>
    <w:rsid w:val="6EAD54F9"/>
    <w:rsid w:val="6F69D755"/>
    <w:rsid w:val="6FC73667"/>
    <w:rsid w:val="6FCD7825"/>
    <w:rsid w:val="7051F938"/>
    <w:rsid w:val="70706A53"/>
    <w:rsid w:val="7097D842"/>
    <w:rsid w:val="709EB1F7"/>
    <w:rsid w:val="70CFF736"/>
    <w:rsid w:val="70EFC5ED"/>
    <w:rsid w:val="71B5A10F"/>
    <w:rsid w:val="71D41B03"/>
    <w:rsid w:val="71FB74E0"/>
    <w:rsid w:val="722817C7"/>
    <w:rsid w:val="73604D17"/>
    <w:rsid w:val="736D79F8"/>
    <w:rsid w:val="744A501C"/>
    <w:rsid w:val="756A4574"/>
    <w:rsid w:val="758F1212"/>
    <w:rsid w:val="75BA2325"/>
    <w:rsid w:val="76128497"/>
    <w:rsid w:val="77E55702"/>
    <w:rsid w:val="78CF8E9E"/>
    <w:rsid w:val="7A2FE0AB"/>
    <w:rsid w:val="7A45899D"/>
    <w:rsid w:val="7B306665"/>
    <w:rsid w:val="7BC93F6E"/>
    <w:rsid w:val="7D1AC1E5"/>
    <w:rsid w:val="7DA96F13"/>
    <w:rsid w:val="7DB38758"/>
    <w:rsid w:val="7DDA1A2A"/>
    <w:rsid w:val="7DE55F38"/>
    <w:rsid w:val="7E25732C"/>
    <w:rsid w:val="7E3BCBE8"/>
    <w:rsid w:val="7E55AF50"/>
    <w:rsid w:val="7F05B848"/>
    <w:rsid w:val="7F258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8DF99"/>
  <w15:chartTrackingRefBased/>
  <w15:docId w15:val="{4CE1DCFD-08D4-45C4-97BB-80F29AB2F5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12DF1"/>
    <w:rPr>
      <w:sz w:val="24"/>
    </w:rPr>
  </w:style>
  <w:style w:type="paragraph" w:styleId="Heading1">
    <w:name w:val="heading 1"/>
    <w:basedOn w:val="Normal"/>
    <w:next w:val="Normal"/>
    <w:link w:val="Heading1Char"/>
    <w:uiPriority w:val="9"/>
    <w:qFormat/>
    <w:rsid w:val="00A12DF1"/>
    <w:pPr>
      <w:keepNext/>
      <w:keepLines/>
      <w:spacing w:before="240" w:after="0"/>
      <w:outlineLvl w:val="0"/>
    </w:pPr>
    <w:rPr>
      <w:rFonts w:asciiTheme="majorHAnsi" w:hAnsiTheme="majorHAnsi" w:eastAsiaTheme="majorEastAsia" w:cstheme="majorBidi"/>
      <w:color w:val="2E74B5" w:themeColor="accent1" w:themeShade="BF"/>
      <w:sz w:val="40"/>
      <w:szCs w:val="32"/>
    </w:rPr>
  </w:style>
  <w:style w:type="paragraph" w:styleId="Heading2">
    <w:name w:val="heading 2"/>
    <w:basedOn w:val="Normal"/>
    <w:next w:val="Normal"/>
    <w:link w:val="Heading2Char"/>
    <w:uiPriority w:val="9"/>
    <w:unhideWhenUsed/>
    <w:qFormat/>
    <w:rsid w:val="00A12DF1"/>
    <w:pPr>
      <w:keepNext/>
      <w:keepLines/>
      <w:spacing w:before="40" w:after="0"/>
      <w:outlineLvl w:val="1"/>
    </w:pPr>
    <w:rPr>
      <w:rFonts w:asciiTheme="majorHAnsi" w:hAnsiTheme="majorHAnsi" w:eastAsiaTheme="majorEastAsia"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A12DF1"/>
    <w:pPr>
      <w:keepNext/>
      <w:keepLines/>
      <w:spacing w:before="40" w:after="0"/>
      <w:outlineLvl w:val="2"/>
    </w:pPr>
    <w:rPr>
      <w:rFonts w:asciiTheme="majorHAnsi" w:hAnsiTheme="majorHAnsi" w:eastAsiaTheme="majorEastAsia"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BD443C"/>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BD443C"/>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12DF1"/>
    <w:rPr>
      <w:rFonts w:asciiTheme="majorHAnsi" w:hAnsiTheme="majorHAnsi" w:eastAsiaTheme="majorEastAsia" w:cstheme="majorBidi"/>
      <w:color w:val="2E74B5" w:themeColor="accent1" w:themeShade="BF"/>
      <w:sz w:val="40"/>
      <w:szCs w:val="32"/>
    </w:rPr>
  </w:style>
  <w:style w:type="paragraph" w:styleId="TOCHeading">
    <w:name w:val="TOC Heading"/>
    <w:basedOn w:val="Heading1"/>
    <w:next w:val="Normal"/>
    <w:uiPriority w:val="39"/>
    <w:unhideWhenUsed/>
    <w:qFormat/>
    <w:rsid w:val="000014DF"/>
    <w:pPr>
      <w:outlineLvl w:val="9"/>
    </w:pPr>
  </w:style>
  <w:style w:type="paragraph" w:styleId="TOC1">
    <w:name w:val="toc 1"/>
    <w:basedOn w:val="Normal"/>
    <w:next w:val="Normal"/>
    <w:autoRedefine/>
    <w:uiPriority w:val="39"/>
    <w:unhideWhenUsed/>
    <w:rsid w:val="000014DF"/>
    <w:pPr>
      <w:spacing w:after="100"/>
    </w:pPr>
  </w:style>
  <w:style w:type="character" w:styleId="Hyperlink">
    <w:name w:val="Hyperlink"/>
    <w:basedOn w:val="DefaultParagraphFont"/>
    <w:uiPriority w:val="99"/>
    <w:unhideWhenUsed/>
    <w:rsid w:val="000014DF"/>
    <w:rPr>
      <w:color w:val="0563C1" w:themeColor="hyperlink"/>
      <w:u w:val="single"/>
    </w:rPr>
  </w:style>
  <w:style w:type="paragraph" w:styleId="Header">
    <w:name w:val="header"/>
    <w:basedOn w:val="Normal"/>
    <w:link w:val="HeaderChar"/>
    <w:uiPriority w:val="99"/>
    <w:unhideWhenUsed/>
    <w:rsid w:val="000014D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014DF"/>
  </w:style>
  <w:style w:type="paragraph" w:styleId="Footer">
    <w:name w:val="footer"/>
    <w:basedOn w:val="Normal"/>
    <w:link w:val="FooterChar"/>
    <w:uiPriority w:val="99"/>
    <w:unhideWhenUsed/>
    <w:rsid w:val="000014D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014DF"/>
  </w:style>
  <w:style w:type="character" w:styleId="Heading2Char" w:customStyle="1">
    <w:name w:val="Heading 2 Char"/>
    <w:basedOn w:val="DefaultParagraphFont"/>
    <w:link w:val="Heading2"/>
    <w:uiPriority w:val="9"/>
    <w:rsid w:val="00A12DF1"/>
    <w:rPr>
      <w:rFonts w:asciiTheme="majorHAnsi" w:hAnsiTheme="majorHAnsi" w:eastAsiaTheme="majorEastAsia" w:cstheme="majorBidi"/>
      <w:color w:val="2E74B5" w:themeColor="accent1" w:themeShade="BF"/>
      <w:sz w:val="32"/>
      <w:szCs w:val="26"/>
    </w:rPr>
  </w:style>
  <w:style w:type="character" w:styleId="Heading3Char" w:customStyle="1">
    <w:name w:val="Heading 3 Char"/>
    <w:basedOn w:val="DefaultParagraphFont"/>
    <w:link w:val="Heading3"/>
    <w:uiPriority w:val="9"/>
    <w:rsid w:val="00A12DF1"/>
    <w:rPr>
      <w:rFonts w:asciiTheme="majorHAnsi" w:hAnsiTheme="majorHAnsi" w:eastAsiaTheme="majorEastAsia" w:cstheme="majorBidi"/>
      <w:color w:val="1F4D78" w:themeColor="accent1" w:themeShade="7F"/>
      <w:sz w:val="28"/>
      <w:szCs w:val="24"/>
    </w:rPr>
  </w:style>
  <w:style w:type="paragraph" w:styleId="ListParagraph">
    <w:name w:val="List Paragraph"/>
    <w:basedOn w:val="Normal"/>
    <w:uiPriority w:val="34"/>
    <w:qFormat/>
    <w:rsid w:val="00BB5633"/>
    <w:pPr>
      <w:ind w:left="720"/>
      <w:contextualSpacing/>
    </w:pPr>
  </w:style>
  <w:style w:type="paragraph" w:styleId="TOC2">
    <w:name w:val="toc 2"/>
    <w:basedOn w:val="Normal"/>
    <w:next w:val="Normal"/>
    <w:autoRedefine/>
    <w:uiPriority w:val="39"/>
    <w:unhideWhenUsed/>
    <w:rsid w:val="00987A81"/>
    <w:pPr>
      <w:spacing w:after="100"/>
      <w:ind w:left="240"/>
    </w:pPr>
  </w:style>
  <w:style w:type="paragraph" w:styleId="TOC3">
    <w:name w:val="toc 3"/>
    <w:basedOn w:val="Normal"/>
    <w:next w:val="Normal"/>
    <w:autoRedefine/>
    <w:uiPriority w:val="39"/>
    <w:unhideWhenUsed/>
    <w:rsid w:val="00987A81"/>
    <w:pPr>
      <w:spacing w:after="100"/>
      <w:ind w:left="480"/>
    </w:pPr>
  </w:style>
  <w:style w:type="character" w:styleId="Heading4Char" w:customStyle="1">
    <w:name w:val="Heading 4 Char"/>
    <w:basedOn w:val="DefaultParagraphFont"/>
    <w:link w:val="Heading4"/>
    <w:uiPriority w:val="9"/>
    <w:rsid w:val="00BD443C"/>
    <w:rPr>
      <w:rFonts w:asciiTheme="majorHAnsi" w:hAnsiTheme="majorHAnsi" w:eastAsiaTheme="majorEastAsia" w:cstheme="majorBidi"/>
      <w:i/>
      <w:iCs/>
      <w:color w:val="2E74B5" w:themeColor="accent1" w:themeShade="BF"/>
      <w:sz w:val="24"/>
    </w:rPr>
  </w:style>
  <w:style w:type="character" w:styleId="Heading5Char" w:customStyle="1">
    <w:name w:val="Heading 5 Char"/>
    <w:basedOn w:val="DefaultParagraphFont"/>
    <w:link w:val="Heading5"/>
    <w:uiPriority w:val="9"/>
    <w:rsid w:val="00BD443C"/>
    <w:rPr>
      <w:rFonts w:asciiTheme="majorHAnsi" w:hAnsiTheme="majorHAnsi" w:eastAsiaTheme="majorEastAsia" w:cstheme="majorBidi"/>
      <w:color w:val="2E74B5" w:themeColor="accent1" w:themeShade="BF"/>
      <w:sz w:val="24"/>
    </w:rPr>
  </w:style>
  <w:style w:type="paragraph" w:styleId="NormalWeb">
    <w:name w:val="Normal (Web)"/>
    <w:basedOn w:val="Normal"/>
    <w:uiPriority w:val="99"/>
    <w:unhideWhenUsed/>
    <w:rsid w:val="00EA2783"/>
    <w:pPr>
      <w:spacing w:before="100" w:beforeAutospacing="1" w:after="100" w:afterAutospacing="1" w:line="240" w:lineRule="auto"/>
    </w:pPr>
    <w:rPr>
      <w:rFonts w:ascii="Times New Roman" w:hAnsi="Times New Roman" w:eastAsia="Times New Roman" w:cs="Times New Roman"/>
      <w:szCs w:val="24"/>
    </w:rPr>
  </w:style>
  <w:style w:type="paragraph" w:styleId="Caption">
    <w:name w:val="caption"/>
    <w:basedOn w:val="Normal"/>
    <w:next w:val="Normal"/>
    <w:uiPriority w:val="35"/>
    <w:unhideWhenUsed/>
    <w:qFormat/>
    <w:rsid w:val="00A94456"/>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956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semiHidden/>
    <w:rsid w:val="009569BC"/>
    <w:rPr>
      <w:rFonts w:ascii="Courier New" w:hAnsi="Courier New" w:eastAsia="Times New Roman" w:cs="Courier New"/>
      <w:sz w:val="20"/>
      <w:szCs w:val="20"/>
    </w:rPr>
  </w:style>
  <w:style w:type="character" w:styleId="FollowedHyperlink">
    <w:name w:val="FollowedHyperlink"/>
    <w:basedOn w:val="DefaultParagraphFont"/>
    <w:uiPriority w:val="99"/>
    <w:semiHidden/>
    <w:unhideWhenUsed/>
    <w:rsid w:val="003021B1"/>
    <w:rPr>
      <w:color w:val="954F72" w:themeColor="followedHyperlink"/>
      <w:u w:val="single"/>
    </w:rPr>
  </w:style>
  <w:style w:type="character" w:styleId="SubtleReference">
    <w:name w:val="Subtle Reference"/>
    <w:basedOn w:val="DefaultParagraphFont"/>
    <w:uiPriority w:val="31"/>
    <w:qFormat/>
    <w:rsid w:val="13BC8465"/>
    <w:rPr>
      <w:smallCaps/>
      <w:color w:val="5A5A5A"/>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2448B3"/>
    <w:rPr>
      <w:sz w:val="16"/>
      <w:szCs w:val="16"/>
    </w:rPr>
  </w:style>
  <w:style w:type="paragraph" w:styleId="CommentText">
    <w:name w:val="annotation text"/>
    <w:basedOn w:val="Normal"/>
    <w:link w:val="CommentTextChar"/>
    <w:uiPriority w:val="99"/>
    <w:semiHidden/>
    <w:unhideWhenUsed/>
    <w:rsid w:val="002448B3"/>
    <w:pPr>
      <w:spacing w:line="240" w:lineRule="auto"/>
    </w:pPr>
    <w:rPr>
      <w:sz w:val="20"/>
      <w:szCs w:val="20"/>
    </w:rPr>
  </w:style>
  <w:style w:type="character" w:styleId="CommentTextChar" w:customStyle="1">
    <w:name w:val="Comment Text Char"/>
    <w:basedOn w:val="DefaultParagraphFont"/>
    <w:link w:val="CommentText"/>
    <w:uiPriority w:val="99"/>
    <w:semiHidden/>
    <w:rsid w:val="002448B3"/>
    <w:rPr>
      <w:sz w:val="20"/>
      <w:szCs w:val="20"/>
    </w:rPr>
  </w:style>
  <w:style w:type="paragraph" w:styleId="CommentSubject">
    <w:name w:val="annotation subject"/>
    <w:basedOn w:val="CommentText"/>
    <w:next w:val="CommentText"/>
    <w:link w:val="CommentSubjectChar"/>
    <w:uiPriority w:val="99"/>
    <w:semiHidden/>
    <w:unhideWhenUsed/>
    <w:rsid w:val="002448B3"/>
    <w:rPr>
      <w:b/>
      <w:bCs/>
    </w:rPr>
  </w:style>
  <w:style w:type="character" w:styleId="CommentSubjectChar" w:customStyle="1">
    <w:name w:val="Comment Subject Char"/>
    <w:basedOn w:val="CommentTextChar"/>
    <w:link w:val="CommentSubject"/>
    <w:uiPriority w:val="99"/>
    <w:semiHidden/>
    <w:rsid w:val="002448B3"/>
    <w:rPr>
      <w:b/>
      <w:bCs/>
      <w:sz w:val="20"/>
      <w:szCs w:val="20"/>
    </w:rPr>
  </w:style>
  <w:style w:type="paragraph" w:styleId="BalloonText">
    <w:name w:val="Balloon Text"/>
    <w:basedOn w:val="Normal"/>
    <w:link w:val="BalloonTextChar"/>
    <w:uiPriority w:val="99"/>
    <w:semiHidden/>
    <w:unhideWhenUsed/>
    <w:rsid w:val="002448B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448B3"/>
    <w:rPr>
      <w:rFonts w:ascii="Segoe UI" w:hAnsi="Segoe UI" w:cs="Segoe UI"/>
      <w:sz w:val="18"/>
      <w:szCs w:val="18"/>
    </w:rPr>
  </w:style>
  <w:style w:type="character" w:styleId="Emphasis">
    <w:name w:val="Emphasis"/>
    <w:basedOn w:val="DefaultParagraphFont"/>
    <w:uiPriority w:val="20"/>
    <w:qFormat/>
    <w:rsid w:val="009A7C9B"/>
    <w:rPr>
      <w:i/>
      <w:iCs/>
    </w:rPr>
  </w:style>
  <w:style w:type="character" w:styleId="Strong">
    <w:name w:val="Strong"/>
    <w:basedOn w:val="DefaultParagraphFont"/>
    <w:uiPriority w:val="22"/>
    <w:qFormat/>
    <w:rsid w:val="009A7C9B"/>
    <w:rPr>
      <w:b/>
      <w:bCs/>
    </w:rPr>
  </w:style>
  <w:style w:type="character" w:styleId="IntenseReference">
    <w:name w:val="Intense Reference"/>
    <w:basedOn w:val="DefaultParagraphFont"/>
    <w:uiPriority w:val="32"/>
    <w:qFormat/>
    <w:rsid w:val="009A7C9B"/>
    <w:rPr>
      <w:b/>
      <w:bCs/>
      <w:smallCaps/>
      <w:color w:val="5B9BD5" w:themeColor="accent1"/>
      <w:spacing w:val="5"/>
    </w:rPr>
  </w:style>
</w:styles>
</file>

<file path=word/tasks.xml><?xml version="1.0" encoding="utf-8"?>
<t:Tasks xmlns:t="http://schemas.microsoft.com/office/tasks/2019/documenttasks" xmlns:oel="http://schemas.microsoft.com/office/2019/extlst">
  <t:Task id="{0A93E6A0-5042-4B23-A1D4-B60F668EA447}">
    <t:Anchor>
      <t:Comment id="607580734"/>
    </t:Anchor>
    <t:History>
      <t:Event id="{C4E382F2-2856-436A-B758-0D8732485871}" time="2025-08-28T04:55:07.564Z">
        <t:Attribution userId="S::mworinger@pih.org::0a6ef961-1e44-44f2-b0f2-206089d673ed" userProvider="AD" userName="Manon Woringer"/>
        <t:Anchor>
          <t:Comment id="2114306716"/>
        </t:Anchor>
        <t:Create/>
      </t:Event>
      <t:Event id="{5051D594-63D5-4D11-9446-BC569F1DC46F}" time="2025-08-28T04:55:07.564Z">
        <t:Attribution userId="S::mworinger@pih.org::0a6ef961-1e44-44f2-b0f2-206089d673ed" userProvider="AD" userName="Manon Woringer"/>
        <t:Anchor>
          <t:Comment id="2114306716"/>
        </t:Anchor>
        <t:Assign userId="S::ewaterman@pih.org::b6107e00-559e-460a-b037-0237972daf21" userProvider="AD" userName="Evan Waterman"/>
      </t:Event>
      <t:Event id="{48DB03CF-68A0-4099-AAA5-0E0BAD1BA6DF}" time="2025-08-28T04:55:07.564Z">
        <t:Attribution userId="S::mworinger@pih.org::0a6ef961-1e44-44f2-b0f2-206089d673ed" userProvider="AD" userName="Manon Woringer"/>
        <t:Anchor>
          <t:Comment id="2114306716"/>
        </t:Anchor>
        <t:SetTitle title="@Evan Waterman Can you confirm?"/>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960992">
      <w:bodyDiv w:val="1"/>
      <w:marLeft w:val="0"/>
      <w:marRight w:val="0"/>
      <w:marTop w:val="0"/>
      <w:marBottom w:val="0"/>
      <w:divBdr>
        <w:top w:val="none" w:sz="0" w:space="0" w:color="auto"/>
        <w:left w:val="none" w:sz="0" w:space="0" w:color="auto"/>
        <w:bottom w:val="none" w:sz="0" w:space="0" w:color="auto"/>
        <w:right w:val="none" w:sz="0" w:space="0" w:color="auto"/>
      </w:divBdr>
      <w:divsChild>
        <w:div w:id="419986311">
          <w:marLeft w:val="0"/>
          <w:marRight w:val="0"/>
          <w:marTop w:val="0"/>
          <w:marBottom w:val="0"/>
          <w:divBdr>
            <w:top w:val="none" w:sz="0" w:space="0" w:color="auto"/>
            <w:left w:val="none" w:sz="0" w:space="0" w:color="auto"/>
            <w:bottom w:val="none" w:sz="0" w:space="0" w:color="auto"/>
            <w:right w:val="none" w:sz="0" w:space="0" w:color="auto"/>
          </w:divBdr>
        </w:div>
      </w:divsChild>
    </w:div>
    <w:div w:id="483477470">
      <w:bodyDiv w:val="1"/>
      <w:marLeft w:val="0"/>
      <w:marRight w:val="0"/>
      <w:marTop w:val="0"/>
      <w:marBottom w:val="0"/>
      <w:divBdr>
        <w:top w:val="none" w:sz="0" w:space="0" w:color="auto"/>
        <w:left w:val="none" w:sz="0" w:space="0" w:color="auto"/>
        <w:bottom w:val="none" w:sz="0" w:space="0" w:color="auto"/>
        <w:right w:val="none" w:sz="0" w:space="0" w:color="auto"/>
      </w:divBdr>
    </w:div>
    <w:div w:id="934896689">
      <w:bodyDiv w:val="1"/>
      <w:marLeft w:val="0"/>
      <w:marRight w:val="0"/>
      <w:marTop w:val="0"/>
      <w:marBottom w:val="0"/>
      <w:divBdr>
        <w:top w:val="none" w:sz="0" w:space="0" w:color="auto"/>
        <w:left w:val="none" w:sz="0" w:space="0" w:color="auto"/>
        <w:bottom w:val="none" w:sz="0" w:space="0" w:color="auto"/>
        <w:right w:val="none" w:sz="0" w:space="0" w:color="auto"/>
      </w:divBdr>
    </w:div>
    <w:div w:id="138027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3.png" Id="rId18" /><Relationship Type="http://schemas.openxmlformats.org/officeDocument/2006/relationships/image" Target="media/image8.png" Id="rId26" /><Relationship Type="http://schemas.openxmlformats.org/officeDocument/2006/relationships/hyperlink" Target="https://openboxes-fr.helpscoutdocs.com/article/473-voir-le-produit-sourcecs" TargetMode="External" Id="rId39" /><Relationship Type="http://schemas.openxmlformats.org/officeDocument/2006/relationships/image" Target="media/image5.png" Id="rId21" /><Relationship Type="http://schemas.openxmlformats.org/officeDocument/2006/relationships/image" Target="media/image16.png" Id="rId34" /><Relationship Type="http://schemas.openxmlformats.org/officeDocument/2006/relationships/image" Target="media/image23.png" Id="rId42" /><Relationship Type="http://schemas.openxmlformats.org/officeDocument/2006/relationships/hyperlink" Target="https://openboxes-fr.helpscoutdocs.com/article/330-304-outbound-shipment-detail-page" TargetMode="External" Id="rId47" /><Relationship Type="http://schemas.openxmlformats.org/officeDocument/2006/relationships/hyperlink" Target="https://openboxes-fr.helpscoutdocs.com/article/342-320-create-product-associations"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openboxes-fr.helpscoutdocs.com/article/489-rapport-sur-les-variations-de-stock" TargetMode="External" Id="rId16" /><Relationship Type="http://schemas.openxmlformats.org/officeDocument/2006/relationships/image" Target="media/image11.png" Id="rId29" /><Relationship Type="http://schemas.openxmlformats.org/officeDocument/2006/relationships/hyperlink" Target="mailto:openboxes@pih.org" TargetMode="External" Id="rId11" /><Relationship Type="http://schemas.openxmlformats.org/officeDocument/2006/relationships/image" Target="media/image7.png" Id="rId24" /><Relationship Type="http://schemas.openxmlformats.org/officeDocument/2006/relationships/image" Target="media/image14.png" Id="rId32" /><Relationship Type="http://schemas.openxmlformats.org/officeDocument/2006/relationships/image" Target="media/image19.png" Id="rId37" /><Relationship Type="http://schemas.openxmlformats.org/officeDocument/2006/relationships/image" Target="media/image21.png" Id="rId40" /><Relationship Type="http://schemas.openxmlformats.org/officeDocument/2006/relationships/image" Target="media/image26.png" Id="rId45" /><Relationship Type="http://schemas.openxmlformats.org/officeDocument/2006/relationships/header" Target="header2.xml" Id="rId53" /><Relationship Type="http://schemas.openxmlformats.org/officeDocument/2006/relationships/numbering" Target="numbering.xml" Id="rId5" /><Relationship Type="http://schemas.openxmlformats.org/officeDocument/2006/relationships/image" Target="media/image4.png" Id="rId19" /><Relationship Type="http://schemas.microsoft.com/office/2016/09/relationships/commentsIds" Target="commentsIds.xml" Id="R095920d7098543fd"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help.openboxes.com/article/488-inventory-changes-report" TargetMode="External" Id="rId14" /><Relationship Type="http://schemas.openxmlformats.org/officeDocument/2006/relationships/hyperlink" Target="https://openboxes-fr.helpscoutdocs.com/article/489-rapport-sur-les-variations-de-stock" TargetMode="External" Id="rId22" /><Relationship Type="http://schemas.openxmlformats.org/officeDocument/2006/relationships/image" Target="media/image9.png" Id="rId27" /><Relationship Type="http://schemas.openxmlformats.org/officeDocument/2006/relationships/image" Target="media/image12.png" Id="rId30" /><Relationship Type="http://schemas.openxmlformats.org/officeDocument/2006/relationships/image" Target="media/image17.png" Id="rId35" /><Relationship Type="http://schemas.openxmlformats.org/officeDocument/2006/relationships/image" Target="media/image24.png" Id="rId43" /><Relationship Type="http://schemas.openxmlformats.org/officeDocument/2006/relationships/image" Target="media/image27.pn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image" Target="media/image28.png" Id="rId51" /><Relationship Type="http://schemas.microsoft.com/office/2018/08/relationships/commentsExtensible" Target="commentsExtensible.xml" Id="R4df865334ca7446c" /><Relationship Type="http://schemas.openxmlformats.org/officeDocument/2006/relationships/customXml" Target="../customXml/item3.xml" Id="rId3" /><Relationship Type="http://schemas.openxmlformats.org/officeDocument/2006/relationships/hyperlink" Target="https://pihops.atlassian.net/servicedesk/customer/portal/3" TargetMode="External" Id="rId12" /><Relationship Type="http://schemas.openxmlformats.org/officeDocument/2006/relationships/image" Target="media/image2.png" Id="rId17" /><Relationship Type="http://schemas.openxmlformats.org/officeDocument/2006/relationships/hyperlink" Target="https://openboxes-fr.helpscoutdocs.com/article/487-efectuar-recuentos-de-ciclos" TargetMode="External" Id="rId25" /><Relationship Type="http://schemas.openxmlformats.org/officeDocument/2006/relationships/image" Target="media/image15.png" Id="rId33" /><Relationship Type="http://schemas.openxmlformats.org/officeDocument/2006/relationships/image" Target="media/image20.png" Id="rId38" /><Relationship Type="http://schemas.openxmlformats.org/officeDocument/2006/relationships/hyperlink" Target="https://help.openboxes.com/article/304-outbound-shipment-detail-page" TargetMode="External" Id="rId46" /><Relationship Type="http://schemas.openxmlformats.org/officeDocument/2006/relationships/hyperlink" Target="https://openboxes-fr.helpscoutdocs.com/article/489-rapport-sur-les-variations-de-stock" TargetMode="External" Id="rId20" /><Relationship Type="http://schemas.openxmlformats.org/officeDocument/2006/relationships/image" Target="media/image22.png" Id="rId41" /><Relationship Type="http://schemas.openxmlformats.org/officeDocument/2006/relationships/footer" Target="footer1.xml" Id="rId54" /><Relationship Type="http://schemas.microsoft.com/office/2019/05/relationships/documenttasks" Target="tasks.xml" Id="R5d145f5ac843416b"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openboxes-fr.helpscoutdocs.com/article/489-rapport-sur-les-variations-de-stock" TargetMode="External" Id="rId15" /><Relationship Type="http://schemas.openxmlformats.org/officeDocument/2006/relationships/image" Target="media/image6.png" Id="rId23" /><Relationship Type="http://schemas.openxmlformats.org/officeDocument/2006/relationships/image" Target="media/image10.png" Id="rId28" /><Relationship Type="http://schemas.openxmlformats.org/officeDocument/2006/relationships/image" Target="media/image18.png" Id="rId36" /><Relationship Type="http://schemas.openxmlformats.org/officeDocument/2006/relationships/hyperlink" Target="https://openboxes-fr.helpscoutdocs.com/article/273-30-import-products-from-excel" TargetMode="External" Id="rId49" /><Relationship Type="http://schemas.openxmlformats.org/officeDocument/2006/relationships/endnotes" Target="endnotes.xml" Id="rId10" /><Relationship Type="http://schemas.openxmlformats.org/officeDocument/2006/relationships/image" Target="media/image13.png" Id="rId31" /><Relationship Type="http://schemas.openxmlformats.org/officeDocument/2006/relationships/image" Target="media/image25.png" Id="rId44" /><Relationship Type="http://schemas.openxmlformats.org/officeDocument/2006/relationships/header" Target="header1.xml" Id="rId5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0f3c26-fef5-4de6-979d-13cba767f965" xsi:nil="true"/>
    <lcf76f155ced4ddcb4097134ff3c332f xmlns="447f813c-875e-4073-a578-56f58d7faa4d">
      <Terms xmlns="http://schemas.microsoft.com/office/infopath/2007/PartnerControls"/>
    </lcf76f155ced4ddcb4097134ff3c332f>
    <UsedFor xmlns="447f813c-875e-4073-a578-56f58d7faa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9" ma:contentTypeDescription="Create a new document." ma:contentTypeScope="" ma:versionID="b54c0f651e80c1a2ff1b5ceeb9df1b6a">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9ae24bcfc601416ab6b738497b4a925e"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UsedF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sedFor" ma:index="26" nillable="true" ma:displayName="Used For" ma:format="Dropdown" ma:internalName="UsedF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B60F3-B0FC-48B5-AA7D-9758D2EB1925}">
  <ds:schemaRefs>
    <ds:schemaRef ds:uri="http://schemas.microsoft.com/sharepoint/v3/contenttype/forms"/>
  </ds:schemaRefs>
</ds:datastoreItem>
</file>

<file path=customXml/itemProps2.xml><?xml version="1.0" encoding="utf-8"?>
<ds:datastoreItem xmlns:ds="http://schemas.openxmlformats.org/officeDocument/2006/customXml" ds:itemID="{E1A0BFA0-6DC3-4F51-B9D2-0ECCB5DB8DD9}">
  <ds:schemaRefs>
    <ds:schemaRef ds:uri="http://schemas.microsoft.com/office/infopath/2007/PartnerControls"/>
    <ds:schemaRef ds:uri="http://purl.org/dc/dcmitype/"/>
    <ds:schemaRef ds:uri="http://purl.org/dc/elements/1.1/"/>
    <ds:schemaRef ds:uri="447f813c-875e-4073-a578-56f58d7faa4d"/>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d70f3c26-fef5-4de6-979d-13cba767f965"/>
    <ds:schemaRef ds:uri="http://purl.org/dc/terms/"/>
  </ds:schemaRefs>
</ds:datastoreItem>
</file>

<file path=customXml/itemProps3.xml><?xml version="1.0" encoding="utf-8"?>
<ds:datastoreItem xmlns:ds="http://schemas.openxmlformats.org/officeDocument/2006/customXml" ds:itemID="{5B8123D9-38A6-4E56-BC30-F7212944E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813c-875e-4073-a578-56f58d7faa4d"/>
    <ds:schemaRef ds:uri="d70f3c26-fef5-4de6-979d-13cba767f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5952D-24B7-4339-8709-FA5F46D0B5A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Partners In Health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Neha Maharjan</dc:creator>
  <keywords/>
  <dc:description/>
  <lastModifiedBy>Manon Woringer</lastModifiedBy>
  <revision>53</revision>
  <dcterms:created xsi:type="dcterms:W3CDTF">2025-08-12T18:52:00.0000000Z</dcterms:created>
  <dcterms:modified xsi:type="dcterms:W3CDTF">2025-09-08T14:42:53.7234802Z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c680e1b1-af02-40fc-a6d5-e590c79148ae</vt:lpwstr>
  </property>
  <property fmtid="{D5CDD505-2E9C-101B-9397-08002B2CF9AE}" pid="3" name="ContentTypeId">
    <vt:lpwstr>0x010100B4AA5E0B6F5C044CA4035DB55F862AE2</vt:lpwstr>
  </property>
  <property fmtid="{D5CDD505-2E9C-101B-9397-08002B2CF9AE}" pid="4" name="MediaServiceImageTags">
    <vt:lpwstr/>
  </property>
</Properties>
</file>