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656D9" w14:textId="316576CF" w:rsidR="000014DF" w:rsidRPr="00CE2208" w:rsidRDefault="000014DF" w:rsidP="13BC8465">
      <w:pPr>
        <w:jc w:val="both"/>
        <w:rPr>
          <w:color w:val="2E74B5" w:themeColor="accent1" w:themeShade="BF"/>
          <w:sz w:val="240"/>
          <w:szCs w:val="240"/>
        </w:rPr>
      </w:pPr>
      <w:bookmarkStart w:id="0" w:name="_Toc131410708"/>
      <w:r w:rsidRPr="13BC8465">
        <w:rPr>
          <w:color w:val="2E74B5" w:themeColor="accent1" w:themeShade="BF"/>
          <w:sz w:val="72"/>
          <w:szCs w:val="72"/>
        </w:rPr>
        <w:t xml:space="preserve">Version 0. </w:t>
      </w:r>
      <w:bookmarkEnd w:id="0"/>
      <w:r w:rsidR="00251BF4" w:rsidRPr="13BC8465">
        <w:rPr>
          <w:color w:val="2E74B5" w:themeColor="accent1" w:themeShade="BF"/>
          <w:sz w:val="72"/>
          <w:szCs w:val="72"/>
        </w:rPr>
        <w:t xml:space="preserve">9.4 </w:t>
      </w:r>
      <w:r w:rsidR="00184C1E" w:rsidRPr="13BC8465">
        <w:rPr>
          <w:rFonts w:ascii="Segoe UI Emoji" w:eastAsia="Segoe UI Emoji" w:hAnsi="Segoe UI Emoji" w:cs="Segoe UI Emoji"/>
          <w:sz w:val="52"/>
          <w:szCs w:val="52"/>
        </w:rPr>
        <w:t>🎉</w:t>
      </w:r>
    </w:p>
    <w:p w14:paraId="7FB101AD" w14:textId="5F2F59C9" w:rsidR="00E11508" w:rsidRDefault="00AD14F6" w:rsidP="00C74A0A">
      <w:pPr>
        <w:pStyle w:val="Heading1"/>
        <w:jc w:val="both"/>
      </w:pPr>
      <w:bookmarkStart w:id="1" w:name="_Toc168296056"/>
      <w:bookmarkStart w:id="2" w:name="_Toc1610802966"/>
      <w:r>
        <w:t>À QUOI S'ATTENDRE?</w:t>
      </w:r>
      <w:bookmarkEnd w:id="1"/>
      <w:bookmarkEnd w:id="2"/>
    </w:p>
    <w:p w14:paraId="192F077B" w14:textId="6E589F15" w:rsidR="13BC8465" w:rsidRDefault="13BC8465" w:rsidP="13BC8465">
      <w:pPr>
        <w:jc w:val="both"/>
      </w:pPr>
    </w:p>
    <w:p w14:paraId="20925BCE" w14:textId="3AE21A0B" w:rsidR="00974677" w:rsidRDefault="0079B92A" w:rsidP="13BC8465">
      <w:pPr>
        <w:jc w:val="both"/>
      </w:pPr>
      <w:r>
        <w:t>L'équipe OpenBoxes est heureuse de vous présent</w:t>
      </w:r>
      <w:r w:rsidR="002B190A">
        <w:t>er la nouvelle fonctionnalité « </w:t>
      </w:r>
      <w:r>
        <w:t>Cycle Count » ! Utilisez-la pour compter régulièrement quelques produits entre vos inventaires annuels ou semestriels et corriger votre inventaire régulièrement si nécessaire.</w:t>
      </w:r>
    </w:p>
    <w:p w14:paraId="3CF75FB5" w14:textId="6EF03C5A" w:rsidR="00974677" w:rsidRDefault="38A7282C" w:rsidP="13BC8465">
      <w:pPr>
        <w:jc w:val="both"/>
      </w:pPr>
      <w:r>
        <w:t>Il s'agit de la première version de Cycle Count, et d'autres fonctionnalités intéressantes seront ajoutées à ce workflow dans une prochaine version. Voir les détails ci-dessous !</w:t>
      </w:r>
    </w:p>
    <w:p w14:paraId="35010F1C" w14:textId="3E43B585" w:rsidR="00974677" w:rsidRDefault="38A7282C" w:rsidP="00C74A0A">
      <w:pPr>
        <w:jc w:val="both"/>
      </w:pPr>
      <w:r>
        <w:t xml:space="preserve">Comme il s'agit d'une toute nouvelle fonctionnalité, nous invitons nos utilisateurs à nous faire part de leurs commentaires et à nous signaler tout problème rencontré. Veuillez nous contacter à </w:t>
      </w:r>
      <w:hyperlink r:id="rId11">
        <w:r w:rsidRPr="13BC8465">
          <w:rPr>
            <w:rStyle w:val="Hyperlink"/>
          </w:rPr>
          <w:t xml:space="preserve">l'adresse openboxes@pih.org </w:t>
        </w:r>
      </w:hyperlink>
      <w:r>
        <w:t>.</w:t>
      </w:r>
    </w:p>
    <w:p w14:paraId="35A4BCED" w14:textId="77777777" w:rsidR="00974677" w:rsidRDefault="00974677" w:rsidP="00C74A0A">
      <w:pPr>
        <w:jc w:val="both"/>
      </w:pPr>
    </w:p>
    <w:p w14:paraId="2F8CA576" w14:textId="77777777" w:rsidR="000014DF" w:rsidRDefault="000014DF" w:rsidP="00C74A0A">
      <w:pPr>
        <w:jc w:val="both"/>
      </w:pPr>
      <w:r>
        <w:br w:type="page"/>
      </w:r>
    </w:p>
    <w:bookmarkStart w:id="3" w:name="_Toc161213385" w:displacedByCustomXml="next"/>
    <w:sdt>
      <w:sdtPr>
        <w:rPr>
          <w:rFonts w:asciiTheme="minorHAnsi" w:eastAsiaTheme="minorHAnsi" w:hAnsiTheme="minorHAnsi" w:cstheme="minorBidi"/>
          <w:color w:val="auto"/>
          <w:sz w:val="24"/>
          <w:szCs w:val="22"/>
        </w:rPr>
        <w:id w:val="630926885"/>
        <w:docPartObj>
          <w:docPartGallery w:val="Table of Contents"/>
          <w:docPartUnique/>
        </w:docPartObj>
      </w:sdtPr>
      <w:sdtEndPr/>
      <w:sdtContent>
        <w:p w14:paraId="1480251F" w14:textId="5EBFA779" w:rsidR="00957919" w:rsidRDefault="00957919">
          <w:pPr>
            <w:pStyle w:val="TOCHeading"/>
          </w:pPr>
          <w:r>
            <w:t>Table des matières</w:t>
          </w:r>
        </w:p>
        <w:p w14:paraId="3BE30384" w14:textId="61C92CC0" w:rsidR="003D4CEE" w:rsidRDefault="13BC8465" w:rsidP="13BC8465">
          <w:pPr>
            <w:pStyle w:val="TOC1"/>
            <w:tabs>
              <w:tab w:val="right" w:leader="dot" w:pos="9345"/>
            </w:tabs>
            <w:rPr>
              <w:rStyle w:val="Hyperlink"/>
              <w:noProof/>
            </w:rPr>
          </w:pPr>
          <w:r>
            <w:fldChar w:fldCharType="begin"/>
          </w:r>
          <w:r w:rsidR="00957919">
            <w:instrText>TOC \o "1-3" \z \u \h</w:instrText>
          </w:r>
          <w:r>
            <w:fldChar w:fldCharType="separate"/>
          </w:r>
          <w:hyperlink w:anchor="_Toc1610802966">
            <w:r w:rsidRPr="13BC8465">
              <w:rPr>
                <w:rStyle w:val="Hyperlink"/>
              </w:rPr>
              <w:t xml:space="preserve">À QUOI S'ATTENDRE? </w:t>
            </w:r>
          </w:hyperlink>
          <w:r w:rsidR="00957919">
            <w:tab/>
          </w:r>
          <w:r w:rsidR="00957919">
            <w:fldChar w:fldCharType="begin"/>
          </w:r>
          <w:r w:rsidR="00957919">
            <w:instrText>PAGEREF _Toc1610802966 \h</w:instrText>
          </w:r>
          <w:r w:rsidR="00957919">
            <w:fldChar w:fldCharType="separate"/>
          </w:r>
          <w:hyperlink w:anchor="_Toc1610802966">
            <w:r w:rsidRPr="13BC8465">
              <w:rPr>
                <w:rStyle w:val="Hyperlink"/>
              </w:rPr>
              <w:t>1</w:t>
            </w:r>
          </w:hyperlink>
          <w:r w:rsidR="00957919">
            <w:fldChar w:fldCharType="end"/>
          </w:r>
        </w:p>
        <w:p w14:paraId="0F0ABB45" w14:textId="174EB3BD" w:rsidR="003D4CEE" w:rsidRDefault="002B190A" w:rsidP="13BC8465">
          <w:pPr>
            <w:pStyle w:val="TOC1"/>
            <w:tabs>
              <w:tab w:val="right" w:leader="dot" w:pos="9345"/>
            </w:tabs>
            <w:rPr>
              <w:rStyle w:val="Hyperlink"/>
              <w:noProof/>
            </w:rPr>
          </w:pPr>
          <w:hyperlink w:anchor="_Toc1862872544">
            <w:r w:rsidR="13BC8465" w:rsidRPr="13BC8465">
              <w:rPr>
                <w:rStyle w:val="Hyperlink"/>
              </w:rPr>
              <w:t xml:space="preserve">FONCTION DE COMPTAGE DE CYCLE </w:t>
            </w:r>
          </w:hyperlink>
          <w:r w:rsidR="003D4CEE">
            <w:tab/>
          </w:r>
          <w:r w:rsidR="003D4CEE">
            <w:fldChar w:fldCharType="begin"/>
          </w:r>
          <w:r w:rsidR="003D4CEE">
            <w:instrText>PAGEREF _Toc1862872544 \h</w:instrText>
          </w:r>
          <w:r w:rsidR="003D4CEE">
            <w:fldChar w:fldCharType="separate"/>
          </w:r>
          <w:hyperlink w:anchor="_Toc1862872544">
            <w:r w:rsidR="13BC8465" w:rsidRPr="13BC8465">
              <w:rPr>
                <w:rStyle w:val="Hyperlink"/>
              </w:rPr>
              <w:t>2</w:t>
            </w:r>
          </w:hyperlink>
          <w:r w:rsidR="003D4CEE">
            <w:fldChar w:fldCharType="end"/>
          </w:r>
        </w:p>
        <w:p w14:paraId="29BEF127" w14:textId="4BF02AAB" w:rsidR="003D4CEE" w:rsidRDefault="002B190A" w:rsidP="13BC8465">
          <w:pPr>
            <w:pStyle w:val="TOC2"/>
            <w:tabs>
              <w:tab w:val="left" w:pos="720"/>
              <w:tab w:val="right" w:leader="dot" w:pos="9345"/>
            </w:tabs>
            <w:rPr>
              <w:rStyle w:val="Hyperlink"/>
              <w:noProof/>
            </w:rPr>
          </w:pPr>
          <w:hyperlink w:anchor="_Toc1502606132">
            <w:r w:rsidR="13BC8465" w:rsidRPr="13BC8465">
              <w:rPr>
                <w:rStyle w:val="Hyperlink"/>
              </w:rPr>
              <w:t xml:space="preserve">1. </w:t>
            </w:r>
          </w:hyperlink>
          <w:r w:rsidR="003D4CEE">
            <w:tab/>
          </w:r>
          <w:hyperlink w:anchor="_Toc1502606132">
            <w:r w:rsidR="13BC8465" w:rsidRPr="13BC8465">
              <w:rPr>
                <w:rStyle w:val="Hyperlink"/>
              </w:rPr>
              <w:t xml:space="preserve">Choisissez les produits à compter </w:t>
            </w:r>
          </w:hyperlink>
          <w:r w:rsidR="003D4CEE">
            <w:tab/>
          </w:r>
          <w:r w:rsidR="003D4CEE">
            <w:fldChar w:fldCharType="begin"/>
          </w:r>
          <w:r w:rsidR="003D4CEE">
            <w:instrText>PAGEREF _Toc1502606132 \h</w:instrText>
          </w:r>
          <w:r w:rsidR="003D4CEE">
            <w:fldChar w:fldCharType="separate"/>
          </w:r>
          <w:hyperlink w:anchor="_Toc1502606132">
            <w:r w:rsidR="13BC8465" w:rsidRPr="13BC8465">
              <w:rPr>
                <w:rStyle w:val="Hyperlink"/>
              </w:rPr>
              <w:t>3</w:t>
            </w:r>
          </w:hyperlink>
          <w:r w:rsidR="003D4CEE">
            <w:fldChar w:fldCharType="end"/>
          </w:r>
        </w:p>
        <w:p w14:paraId="1D3629A8" w14:textId="00F5A389" w:rsidR="003D4CEE" w:rsidRDefault="002B190A" w:rsidP="13BC8465">
          <w:pPr>
            <w:pStyle w:val="TOC2"/>
            <w:tabs>
              <w:tab w:val="left" w:pos="720"/>
              <w:tab w:val="right" w:leader="dot" w:pos="9345"/>
            </w:tabs>
            <w:rPr>
              <w:rStyle w:val="Hyperlink"/>
              <w:noProof/>
            </w:rPr>
          </w:pPr>
          <w:hyperlink w:anchor="_Toc1742799330">
            <w:r w:rsidR="13BC8465" w:rsidRPr="13BC8465">
              <w:rPr>
                <w:rStyle w:val="Hyperlink"/>
              </w:rPr>
              <w:t xml:space="preserve">2. </w:t>
            </w:r>
          </w:hyperlink>
          <w:r w:rsidR="003D4CEE">
            <w:tab/>
          </w:r>
          <w:hyperlink w:anchor="_Toc1742799330">
            <w:r w:rsidR="13BC8465" w:rsidRPr="13BC8465">
              <w:rPr>
                <w:rStyle w:val="Hyperlink"/>
              </w:rPr>
              <w:t xml:space="preserve">Effectuez le compte </w:t>
            </w:r>
          </w:hyperlink>
          <w:r w:rsidR="003D4CEE">
            <w:tab/>
          </w:r>
          <w:r w:rsidR="003D4CEE">
            <w:fldChar w:fldCharType="begin"/>
          </w:r>
          <w:r w:rsidR="003D4CEE">
            <w:instrText>PAGEREF _Toc1742799330 \h</w:instrText>
          </w:r>
          <w:r w:rsidR="003D4CEE">
            <w:fldChar w:fldCharType="separate"/>
          </w:r>
          <w:hyperlink w:anchor="_Toc1742799330">
            <w:r w:rsidR="13BC8465" w:rsidRPr="13BC8465">
              <w:rPr>
                <w:rStyle w:val="Hyperlink"/>
              </w:rPr>
              <w:t>4</w:t>
            </w:r>
          </w:hyperlink>
          <w:r w:rsidR="003D4CEE">
            <w:fldChar w:fldCharType="end"/>
          </w:r>
        </w:p>
        <w:p w14:paraId="5A8A27F0" w14:textId="360F2BDA" w:rsidR="13BC8465" w:rsidRDefault="002B190A" w:rsidP="13BC8465">
          <w:pPr>
            <w:pStyle w:val="TOC2"/>
            <w:tabs>
              <w:tab w:val="left" w:pos="720"/>
              <w:tab w:val="right" w:leader="dot" w:pos="9345"/>
            </w:tabs>
            <w:rPr>
              <w:rStyle w:val="Hyperlink"/>
            </w:rPr>
          </w:pPr>
          <w:hyperlink w:anchor="_Toc1652378767">
            <w:r w:rsidR="13BC8465" w:rsidRPr="13BC8465">
              <w:rPr>
                <w:rStyle w:val="Hyperlink"/>
              </w:rPr>
              <w:t xml:space="preserve">3. </w:t>
            </w:r>
          </w:hyperlink>
          <w:r w:rsidR="13BC8465">
            <w:tab/>
          </w:r>
          <w:hyperlink w:anchor="_Toc1652378767">
            <w:r w:rsidR="13BC8465" w:rsidRPr="13BC8465">
              <w:rPr>
                <w:rStyle w:val="Hyperlink"/>
              </w:rPr>
              <w:t xml:space="preserve">Résoudre les divergences </w:t>
            </w:r>
          </w:hyperlink>
          <w:r w:rsidR="13BC8465">
            <w:tab/>
          </w:r>
          <w:r w:rsidR="13BC8465">
            <w:fldChar w:fldCharType="begin"/>
          </w:r>
          <w:r w:rsidR="13BC8465">
            <w:instrText>PAGEREF _Toc1652378767 \h</w:instrText>
          </w:r>
          <w:r w:rsidR="13BC8465">
            <w:fldChar w:fldCharType="separate"/>
          </w:r>
          <w:hyperlink w:anchor="_Toc1652378767">
            <w:r w:rsidR="13BC8465" w:rsidRPr="13BC8465">
              <w:rPr>
                <w:rStyle w:val="Hyperlink"/>
              </w:rPr>
              <w:t>4</w:t>
            </w:r>
          </w:hyperlink>
          <w:r w:rsidR="13BC8465">
            <w:fldChar w:fldCharType="end"/>
          </w:r>
        </w:p>
        <w:p w14:paraId="526F214E" w14:textId="5DEC0616" w:rsidR="13BC8465" w:rsidRDefault="002B190A" w:rsidP="13BC8465">
          <w:pPr>
            <w:pStyle w:val="TOC1"/>
            <w:tabs>
              <w:tab w:val="right" w:leader="dot" w:pos="9345"/>
            </w:tabs>
            <w:rPr>
              <w:rStyle w:val="Hyperlink"/>
            </w:rPr>
          </w:pPr>
          <w:hyperlink w:anchor="_Toc1153559156">
            <w:r w:rsidR="13BC8465" w:rsidRPr="13BC8465">
              <w:rPr>
                <w:rStyle w:val="Hyperlink"/>
              </w:rPr>
              <w:t xml:space="preserve">AJOUTS FUTURS AU COMPTAGE DES CYCLE! </w:t>
            </w:r>
          </w:hyperlink>
          <w:r w:rsidR="13BC8465">
            <w:tab/>
          </w:r>
          <w:r w:rsidR="13BC8465">
            <w:fldChar w:fldCharType="begin"/>
          </w:r>
          <w:r w:rsidR="13BC8465">
            <w:instrText>PAGEREF _Toc1153559156 \h</w:instrText>
          </w:r>
          <w:r w:rsidR="13BC8465">
            <w:fldChar w:fldCharType="separate"/>
          </w:r>
          <w:hyperlink w:anchor="_Toc1153559156">
            <w:r w:rsidR="13BC8465" w:rsidRPr="13BC8465">
              <w:rPr>
                <w:rStyle w:val="Hyperlink"/>
              </w:rPr>
              <w:t>5</w:t>
            </w:r>
          </w:hyperlink>
          <w:r w:rsidR="13BC8465">
            <w:fldChar w:fldCharType="end"/>
          </w:r>
        </w:p>
        <w:p w14:paraId="5D4C03A3" w14:textId="443A768C" w:rsidR="13BC8465" w:rsidRDefault="002B190A" w:rsidP="13BC8465">
          <w:pPr>
            <w:pStyle w:val="TOC3"/>
            <w:tabs>
              <w:tab w:val="right" w:leader="dot" w:pos="9345"/>
            </w:tabs>
            <w:rPr>
              <w:rStyle w:val="Hyperlink"/>
            </w:rPr>
          </w:pPr>
          <w:hyperlink w:anchor="_Toc1939414168">
            <w:r w:rsidR="13BC8465" w:rsidRPr="13BC8465">
              <w:rPr>
                <w:rStyle w:val="Hyperlink"/>
              </w:rPr>
              <w:t xml:space="preserve">Choisissez les produits </w:t>
            </w:r>
          </w:hyperlink>
          <w:r w:rsidR="13BC8465">
            <w:tab/>
          </w:r>
          <w:r w:rsidR="13BC8465">
            <w:fldChar w:fldCharType="begin"/>
          </w:r>
          <w:r w:rsidR="13BC8465">
            <w:instrText>PAGEREF _Toc1939414168 \h</w:instrText>
          </w:r>
          <w:r w:rsidR="13BC8465">
            <w:fldChar w:fldCharType="separate"/>
          </w:r>
          <w:hyperlink w:anchor="_Toc1939414168">
            <w:r w:rsidR="13BC8465" w:rsidRPr="13BC8465">
              <w:rPr>
                <w:rStyle w:val="Hyperlink"/>
              </w:rPr>
              <w:t>5</w:t>
            </w:r>
          </w:hyperlink>
          <w:r w:rsidR="13BC8465">
            <w:fldChar w:fldCharType="end"/>
          </w:r>
        </w:p>
        <w:p w14:paraId="143C7E0D" w14:textId="2604C16F" w:rsidR="13BC8465" w:rsidRDefault="002B190A" w:rsidP="13BC8465">
          <w:pPr>
            <w:pStyle w:val="TOC3"/>
            <w:tabs>
              <w:tab w:val="right" w:leader="dot" w:pos="9345"/>
            </w:tabs>
            <w:rPr>
              <w:rStyle w:val="Hyperlink"/>
            </w:rPr>
          </w:pPr>
          <w:hyperlink w:anchor="_Toc1240784650">
            <w:r w:rsidR="13BC8465" w:rsidRPr="13BC8465">
              <w:rPr>
                <w:rStyle w:val="Hyperlink"/>
              </w:rPr>
              <w:t xml:space="preserve">Effectuez le compte </w:t>
            </w:r>
          </w:hyperlink>
          <w:r w:rsidR="13BC8465">
            <w:tab/>
          </w:r>
          <w:r w:rsidR="13BC8465">
            <w:fldChar w:fldCharType="begin"/>
          </w:r>
          <w:r w:rsidR="13BC8465">
            <w:instrText>PAGEREF _Toc1240784650 \h</w:instrText>
          </w:r>
          <w:r w:rsidR="13BC8465">
            <w:fldChar w:fldCharType="separate"/>
          </w:r>
          <w:hyperlink w:anchor="_Toc1240784650">
            <w:r w:rsidR="13BC8465" w:rsidRPr="13BC8465">
              <w:rPr>
                <w:rStyle w:val="Hyperlink"/>
              </w:rPr>
              <w:t>5</w:t>
            </w:r>
          </w:hyperlink>
          <w:r w:rsidR="13BC8465">
            <w:fldChar w:fldCharType="end"/>
          </w:r>
        </w:p>
        <w:p w14:paraId="54465D12" w14:textId="06ADA464" w:rsidR="13BC8465" w:rsidRDefault="002B190A" w:rsidP="13BC8465">
          <w:pPr>
            <w:pStyle w:val="TOC3"/>
            <w:tabs>
              <w:tab w:val="right" w:leader="dot" w:pos="9345"/>
            </w:tabs>
            <w:rPr>
              <w:rStyle w:val="Hyperlink"/>
            </w:rPr>
          </w:pPr>
          <w:hyperlink w:anchor="_Toc1285583067">
            <w:r w:rsidR="13BC8465" w:rsidRPr="13BC8465">
              <w:rPr>
                <w:rStyle w:val="Hyperlink"/>
              </w:rPr>
              <w:t xml:space="preserve">Résoudre les divergences </w:t>
            </w:r>
          </w:hyperlink>
          <w:r w:rsidR="13BC8465">
            <w:tab/>
          </w:r>
          <w:r w:rsidR="13BC8465">
            <w:fldChar w:fldCharType="begin"/>
          </w:r>
          <w:r w:rsidR="13BC8465">
            <w:instrText>PAGEREF _Toc1285583067 \h</w:instrText>
          </w:r>
          <w:r w:rsidR="13BC8465">
            <w:fldChar w:fldCharType="separate"/>
          </w:r>
          <w:hyperlink w:anchor="_Toc1285583067">
            <w:r w:rsidR="13BC8465" w:rsidRPr="13BC8465">
              <w:rPr>
                <w:rStyle w:val="Hyperlink"/>
              </w:rPr>
              <w:t>5</w:t>
            </w:r>
          </w:hyperlink>
          <w:r w:rsidR="13BC8465">
            <w:fldChar w:fldCharType="end"/>
          </w:r>
        </w:p>
        <w:p w14:paraId="76A21DB3" w14:textId="6D168D13" w:rsidR="13BC8465" w:rsidRDefault="002B190A" w:rsidP="13BC8465">
          <w:pPr>
            <w:pStyle w:val="TOC3"/>
            <w:tabs>
              <w:tab w:val="right" w:leader="dot" w:pos="9345"/>
            </w:tabs>
            <w:rPr>
              <w:rStyle w:val="Hyperlink"/>
            </w:rPr>
          </w:pPr>
          <w:hyperlink w:anchor="_Toc1894481372">
            <w:r w:rsidR="13BC8465" w:rsidRPr="13BC8465">
              <w:rPr>
                <w:rStyle w:val="Hyperlink"/>
              </w:rPr>
              <w:t xml:space="preserve">Approbation </w:t>
            </w:r>
          </w:hyperlink>
          <w:r w:rsidR="13BC8465">
            <w:tab/>
          </w:r>
          <w:r w:rsidR="13BC8465">
            <w:fldChar w:fldCharType="begin"/>
          </w:r>
          <w:r w:rsidR="13BC8465">
            <w:instrText>PAGEREF _Toc1894481372 \h</w:instrText>
          </w:r>
          <w:r w:rsidR="13BC8465">
            <w:fldChar w:fldCharType="separate"/>
          </w:r>
          <w:hyperlink w:anchor="_Toc1894481372">
            <w:r w:rsidR="13BC8465" w:rsidRPr="13BC8465">
              <w:rPr>
                <w:rStyle w:val="Hyperlink"/>
              </w:rPr>
              <w:t>6</w:t>
            </w:r>
          </w:hyperlink>
          <w:r w:rsidR="13BC8465">
            <w:fldChar w:fldCharType="end"/>
          </w:r>
        </w:p>
        <w:p w14:paraId="29B3FED9" w14:textId="2F020265" w:rsidR="13BC8465" w:rsidRDefault="002B190A" w:rsidP="13BC8465">
          <w:pPr>
            <w:pStyle w:val="TOC3"/>
            <w:tabs>
              <w:tab w:val="right" w:leader="dot" w:pos="9345"/>
            </w:tabs>
            <w:rPr>
              <w:rStyle w:val="Hyperlink"/>
            </w:rPr>
          </w:pPr>
          <w:hyperlink w:anchor="_Toc1555421260">
            <w:r w:rsidR="13BC8465" w:rsidRPr="13BC8465">
              <w:rPr>
                <w:rStyle w:val="Hyperlink"/>
              </w:rPr>
              <w:t xml:space="preserve">Rapport </w:t>
            </w:r>
          </w:hyperlink>
          <w:r w:rsidR="13BC8465">
            <w:tab/>
          </w:r>
          <w:r w:rsidR="13BC8465">
            <w:fldChar w:fldCharType="begin"/>
          </w:r>
          <w:r w:rsidR="13BC8465">
            <w:instrText>PAGEREF _Toc1555421260 \h</w:instrText>
          </w:r>
          <w:r w:rsidR="13BC8465">
            <w:fldChar w:fldCharType="separate"/>
          </w:r>
          <w:hyperlink w:anchor="_Toc1555421260">
            <w:r w:rsidR="13BC8465" w:rsidRPr="13BC8465">
              <w:rPr>
                <w:rStyle w:val="Hyperlink"/>
              </w:rPr>
              <w:t>6</w:t>
            </w:r>
          </w:hyperlink>
          <w:r w:rsidR="13BC8465">
            <w:fldChar w:fldCharType="end"/>
          </w:r>
          <w:r w:rsidR="13BC8465">
            <w:fldChar w:fldCharType="end"/>
          </w:r>
        </w:p>
      </w:sdtContent>
    </w:sdt>
    <w:p w14:paraId="131CDF9F" w14:textId="0840E021" w:rsidR="00957919" w:rsidRDefault="00957919"/>
    <w:p w14:paraId="5A861936" w14:textId="62F14B9B" w:rsidR="00871F81" w:rsidRPr="00E67521" w:rsidRDefault="00563FD2" w:rsidP="13BC8465">
      <w:pPr>
        <w:rPr>
          <w:rFonts w:asciiTheme="majorHAnsi" w:eastAsiaTheme="majorEastAsia" w:hAnsiTheme="majorHAnsi" w:cstheme="majorBidi"/>
          <w:color w:val="2E74B5" w:themeColor="accent1" w:themeShade="BF"/>
          <w:sz w:val="40"/>
          <w:szCs w:val="40"/>
        </w:rPr>
      </w:pPr>
      <w:r>
        <w:br w:type="page"/>
      </w:r>
      <w:bookmarkEnd w:id="3"/>
    </w:p>
    <w:p w14:paraId="45BCE97E" w14:textId="34FF3F21" w:rsidR="008A2E4C" w:rsidRDefault="04C44DDD" w:rsidP="13BC8465">
      <w:pPr>
        <w:pStyle w:val="Heading1"/>
      </w:pPr>
      <w:bookmarkStart w:id="4" w:name="_Toc1862872544"/>
      <w:r>
        <w:lastRenderedPageBreak/>
        <w:t>FONCTION DE COMPTAGE DE CYCLE</w:t>
      </w:r>
      <w:bookmarkEnd w:id="4"/>
    </w:p>
    <w:p w14:paraId="3CCB59E6" w14:textId="3B715B5B" w:rsidR="00DB67DD" w:rsidRDefault="647CBA2C" w:rsidP="13BC8465">
      <w:pPr>
        <w:jc w:val="both"/>
      </w:pPr>
      <w:r>
        <w:t>La nouvelle fonctionnalité d'inventaire cyclique aidera votre équipe d'entrepôt à vérifier vos données d'inventaire, à les corriger si nécessaire et à tirer des conclusions sur leur exactitude. Conformément aux bonnes pratiques d'entreposage, quelques articles doivent être régulièrement comptés entre les inventaires annuels et semestriels. Cette fonctionnalité simplifiera votre processus !</w:t>
      </w:r>
    </w:p>
    <w:p w14:paraId="7E8CCE68" w14:textId="53DB2ED5" w:rsidR="00DB67DD" w:rsidRDefault="73604D17" w:rsidP="13BC8465">
      <w:pPr>
        <w:jc w:val="both"/>
      </w:pPr>
      <w:r>
        <w:t>La nouvelle fonctionnalité de comptage cyclique permet un processus étape par étape :</w:t>
      </w:r>
    </w:p>
    <w:p w14:paraId="6ED288F9" w14:textId="32E2E651" w:rsidR="00DB67DD" w:rsidRDefault="002B190A" w:rsidP="13BC8465">
      <w:pPr>
        <w:pStyle w:val="ListParagraph"/>
        <w:numPr>
          <w:ilvl w:val="0"/>
          <w:numId w:val="5"/>
        </w:numPr>
        <w:jc w:val="both"/>
        <w:rPr>
          <w:szCs w:val="24"/>
        </w:rPr>
      </w:pPr>
      <w:hyperlink r:id="rId12">
        <w:r w:rsidR="0720F5D7" w:rsidRPr="13BC8465">
          <w:rPr>
            <w:rStyle w:val="Hyperlink"/>
          </w:rPr>
          <w:t>Prendre</w:t>
        </w:r>
      </w:hyperlink>
      <w:hyperlink r:id="rId13">
        <w:r w:rsidR="21C0BF30" w:rsidRPr="13BC8465">
          <w:rPr>
            <w:rStyle w:val="Hyperlink"/>
          </w:rPr>
          <w:t xml:space="preserve"> </w:t>
        </w:r>
      </w:hyperlink>
      <w:hyperlink r:id="rId14">
        <w:r w:rsidR="3C906606" w:rsidRPr="13BC8465">
          <w:rPr>
            <w:rStyle w:val="Hyperlink"/>
          </w:rPr>
          <w:t xml:space="preserve">Produits </w:t>
        </w:r>
      </w:hyperlink>
      <w:hyperlink r:id="rId15">
        <w:r w:rsidR="21C0BF30" w:rsidRPr="13BC8465">
          <w:rPr>
            <w:rStyle w:val="Hyperlink"/>
          </w:rPr>
          <w:t>à compter</w:t>
        </w:r>
      </w:hyperlink>
      <w:r w:rsidR="21C0BF30">
        <w:t xml:space="preserve">  </w:t>
      </w:r>
    </w:p>
    <w:p w14:paraId="2DBCA3B4" w14:textId="3A382CCA" w:rsidR="00DB67DD" w:rsidRDefault="002B190A" w:rsidP="13BC8465">
      <w:pPr>
        <w:pStyle w:val="ListParagraph"/>
        <w:numPr>
          <w:ilvl w:val="0"/>
          <w:numId w:val="5"/>
        </w:numPr>
        <w:jc w:val="both"/>
        <w:rPr>
          <w:szCs w:val="24"/>
        </w:rPr>
      </w:pPr>
      <w:hyperlink r:id="rId16">
        <w:r w:rsidR="21C0BF30" w:rsidRPr="13BC8465">
          <w:rPr>
            <w:rStyle w:val="Hyperlink"/>
          </w:rPr>
          <w:t>Effectuer le décompte</w:t>
        </w:r>
      </w:hyperlink>
      <w:r w:rsidR="21C0BF30">
        <w:t xml:space="preserve"> </w:t>
      </w:r>
    </w:p>
    <w:p w14:paraId="6C115FCA" w14:textId="2E9E4043" w:rsidR="00DB67DD" w:rsidRDefault="002B190A" w:rsidP="13BC8465">
      <w:pPr>
        <w:pStyle w:val="ListParagraph"/>
        <w:numPr>
          <w:ilvl w:val="0"/>
          <w:numId w:val="5"/>
        </w:numPr>
        <w:jc w:val="both"/>
        <w:rPr>
          <w:szCs w:val="24"/>
        </w:rPr>
      </w:pPr>
      <w:hyperlink r:id="rId17">
        <w:r w:rsidR="21C0BF30" w:rsidRPr="13BC8465">
          <w:rPr>
            <w:rStyle w:val="Hyperlink"/>
          </w:rPr>
          <w:t>Résoudre les divergences</w:t>
        </w:r>
      </w:hyperlink>
    </w:p>
    <w:p w14:paraId="5C792B3B" w14:textId="0B5FF664" w:rsidR="00DB67DD" w:rsidRDefault="22705C3C" w:rsidP="13BC8465">
      <w:pPr>
        <w:jc w:val="both"/>
      </w:pPr>
      <w:r>
        <w:t>Vous trouverez ci-dessous des informations résumées sur chacune des trois étapes.</w:t>
      </w:r>
    </w:p>
    <w:p w14:paraId="5F2F5815" w14:textId="3C6840A2" w:rsidR="00DB67DD" w:rsidRDefault="68C71090" w:rsidP="13BC8465">
      <w:pPr>
        <w:jc w:val="both"/>
      </w:pPr>
      <w:r>
        <w:t xml:space="preserve">Pour obtenir des instructions étape par étape, veuillez consulter ce document : </w:t>
      </w:r>
      <w:hyperlink r:id="rId18">
        <w:r w:rsidR="03AA74E9" w:rsidRPr="13BC8465">
          <w:rPr>
            <w:rStyle w:val="Hyperlink"/>
          </w:rPr>
          <w:t xml:space="preserve">Effectuer le comptage cyclique </w:t>
        </w:r>
      </w:hyperlink>
      <w:r w:rsidR="03AA74E9">
        <w:t>dans la base de connaissances OpenBoxes.</w:t>
      </w:r>
    </w:p>
    <w:p w14:paraId="1E18DFAF" w14:textId="7B5D9EE7" w:rsidR="00DB67DD" w:rsidRDefault="00DB67DD" w:rsidP="13BC8465">
      <w:pPr>
        <w:jc w:val="both"/>
      </w:pPr>
    </w:p>
    <w:p w14:paraId="778BC946" w14:textId="159B5E5A" w:rsidR="00DB67DD" w:rsidRDefault="1DF76397" w:rsidP="13BC8465">
      <w:pPr>
        <w:pStyle w:val="Heading2"/>
        <w:numPr>
          <w:ilvl w:val="0"/>
          <w:numId w:val="4"/>
        </w:numPr>
        <w:jc w:val="both"/>
      </w:pPr>
      <w:bookmarkStart w:id="5" w:name="_Toc1502606132"/>
      <w:r>
        <w:t>Choisissez les produits à compter</w:t>
      </w:r>
      <w:bookmarkEnd w:id="5"/>
    </w:p>
    <w:p w14:paraId="671F65B4" w14:textId="2B4BEBFE" w:rsidR="00DB67DD" w:rsidRDefault="70EFC5ED" w:rsidP="13BC8465">
      <w:pPr>
        <w:jc w:val="both"/>
      </w:pPr>
      <w:r>
        <w:t xml:space="preserve">Accédez à </w:t>
      </w:r>
      <w:r w:rsidRPr="13BC8465">
        <w:rPr>
          <w:b/>
          <w:bCs/>
        </w:rPr>
        <w:t xml:space="preserve">Inventaire </w:t>
      </w:r>
      <w:r>
        <w:t xml:space="preserve">&gt; </w:t>
      </w:r>
      <w:r w:rsidRPr="13BC8465">
        <w:rPr>
          <w:b/>
          <w:bCs/>
        </w:rPr>
        <w:t xml:space="preserve">Gérer le comptage cyclique </w:t>
      </w:r>
      <w:r>
        <w:t>pour charger une liste de TOUS les PRODUITS disponibles pour le comptage.</w:t>
      </w:r>
    </w:p>
    <w:p w14:paraId="03BEFA50" w14:textId="731A002F" w:rsidR="00DB67DD" w:rsidRDefault="51AD0775" w:rsidP="13BC8465">
      <w:pPr>
        <w:jc w:val="center"/>
      </w:pPr>
      <w:r>
        <w:rPr>
          <w:noProof/>
          <w:lang w:val="en-US"/>
        </w:rPr>
        <w:drawing>
          <wp:inline distT="0" distB="0" distL="0" distR="0" wp14:anchorId="3D02E5FD" wp14:editId="69AB175C">
            <wp:extent cx="4442845" cy="1585097"/>
            <wp:effectExtent l="0" t="0" r="0" b="0"/>
            <wp:docPr id="138139487" name="Picture 13813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442845" cy="1585097"/>
                    </a:xfrm>
                    <a:prstGeom prst="rect">
                      <a:avLst/>
                    </a:prstGeom>
                  </pic:spPr>
                </pic:pic>
              </a:graphicData>
            </a:graphic>
          </wp:inline>
        </w:drawing>
      </w:r>
    </w:p>
    <w:p w14:paraId="2A9AF449" w14:textId="5F336DEE" w:rsidR="00DB67DD" w:rsidRDefault="2CF45A38" w:rsidP="13BC8465">
      <w:pPr>
        <w:jc w:val="both"/>
        <w:rPr>
          <w:u w:val="single"/>
        </w:rPr>
      </w:pPr>
      <w:r>
        <w:t xml:space="preserve">Sur la page « TOUS LES PRODUITS », les articles sont triés par ordre de comptage le plus ancien. Ce tri s'effectue par </w:t>
      </w:r>
      <w:r w:rsidRPr="13BC8465">
        <w:rPr>
          <w:u w:val="single"/>
        </w:rPr>
        <w:t>date de dernier comptage.</w:t>
      </w:r>
      <w:r w:rsidRPr="13BC8465">
        <w:rPr>
          <w:b/>
          <w:bCs/>
        </w:rPr>
        <w:t xml:space="preserve"> </w:t>
      </w:r>
      <w:r>
        <w:t xml:space="preserve">et </w:t>
      </w:r>
      <w:r w:rsidRPr="13BC8465">
        <w:rPr>
          <w:u w:val="single"/>
        </w:rPr>
        <w:t xml:space="preserve">la classification ABC </w:t>
      </w:r>
      <w:r>
        <w:t>. Les utilisateurs effectueront des sélections de produits sur cette page pour le comptage.</w:t>
      </w:r>
    </w:p>
    <w:p w14:paraId="67566534" w14:textId="2CD7B249" w:rsidR="00DB67DD" w:rsidRDefault="1D367030" w:rsidP="13BC8465">
      <w:pPr>
        <w:ind w:left="720"/>
        <w:jc w:val="both"/>
        <w:rPr>
          <w:rStyle w:val="SubtleReference"/>
        </w:rPr>
      </w:pPr>
      <w:r w:rsidRPr="13BC8465">
        <w:rPr>
          <w:rStyle w:val="SubtleReference"/>
          <w:u w:val="single"/>
        </w:rPr>
        <w:t xml:space="preserve">Classification ABC </w:t>
      </w:r>
      <w:r w:rsidRPr="13BC8465">
        <w:rPr>
          <w:rStyle w:val="SubtleReference"/>
        </w:rPr>
        <w:t>: Méthode de catégorisation des articles en trois groupes : A, B et C en fonction de leur consommation. Groupe A : articles à forte consommation qui doivent être comptés 4 fois par an ; Groupe B : doivent être comptés 2 fois par an ; et Groupe C : doivent être comptés une fois par an.</w:t>
      </w:r>
    </w:p>
    <w:p w14:paraId="4347F5F8" w14:textId="12798A40" w:rsidR="00DB67DD" w:rsidRDefault="1D367030" w:rsidP="13BC8465">
      <w:pPr>
        <w:jc w:val="both"/>
      </w:pPr>
      <w:r>
        <w:rPr>
          <w:noProof/>
          <w:lang w:val="en-US"/>
        </w:rPr>
        <w:lastRenderedPageBreak/>
        <w:drawing>
          <wp:inline distT="0" distB="0" distL="0" distR="0" wp14:anchorId="2EA6573D" wp14:editId="1B2B9961">
            <wp:extent cx="6259390" cy="2441162"/>
            <wp:effectExtent l="0" t="0" r="0" b="0"/>
            <wp:docPr id="1651259931" name="Picture 165125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59390" cy="2441162"/>
                    </a:xfrm>
                    <a:prstGeom prst="rect">
                      <a:avLst/>
                    </a:prstGeom>
                  </pic:spPr>
                </pic:pic>
              </a:graphicData>
            </a:graphic>
          </wp:inline>
        </w:drawing>
      </w:r>
    </w:p>
    <w:p w14:paraId="7F1BBAE0" w14:textId="3FF42B59" w:rsidR="00DB67DD" w:rsidRDefault="565D2DF4" w:rsidP="13BC8465">
      <w:pPr>
        <w:jc w:val="both"/>
      </w:pPr>
      <w:r>
        <w:t>Les utilisateurs peuvent également utiliser les différents filtres disponibles dans la page « TOUS LES PRODUITS » pour compter les articles dans une certaine catégorie, une certaine corbeille, une certaine balise, etc.</w:t>
      </w:r>
    </w:p>
    <w:p w14:paraId="4B59A438" w14:textId="755DC0F5" w:rsidR="00DB67DD" w:rsidRDefault="00DB67DD" w:rsidP="13BC8465">
      <w:pPr>
        <w:jc w:val="both"/>
      </w:pPr>
    </w:p>
    <w:p w14:paraId="2C18FD3F" w14:textId="0EF95E6F" w:rsidR="00DB67DD" w:rsidRDefault="002B190A" w:rsidP="002B190A">
      <w:pPr>
        <w:pStyle w:val="Heading2"/>
        <w:numPr>
          <w:ilvl w:val="0"/>
          <w:numId w:val="4"/>
        </w:numPr>
      </w:pPr>
      <w:bookmarkStart w:id="6" w:name="_Toc1742799330"/>
      <w:r>
        <w:t xml:space="preserve">Effectuer </w:t>
      </w:r>
      <w:r w:rsidR="331C783E">
        <w:t>le décompte</w:t>
      </w:r>
      <w:r w:rsidR="003D4CEE">
        <w:br/>
      </w:r>
      <w:bookmarkEnd w:id="6"/>
    </w:p>
    <w:p w14:paraId="40233098" w14:textId="633E903B" w:rsidR="00DB67DD" w:rsidRDefault="7F05B848" w:rsidP="13BC8465">
      <w:pPr>
        <w:jc w:val="both"/>
      </w:pPr>
      <w:r>
        <w:rPr>
          <w:noProof/>
          <w:lang w:val="en-US"/>
        </w:rPr>
        <w:drawing>
          <wp:inline distT="0" distB="0" distL="0" distR="0" wp14:anchorId="69442C98" wp14:editId="67405DFE">
            <wp:extent cx="6336565" cy="2457450"/>
            <wp:effectExtent l="0" t="0" r="0" b="0"/>
            <wp:docPr id="1150670200" name="Picture 115067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36565" cy="2457450"/>
                    </a:xfrm>
                    <a:prstGeom prst="rect">
                      <a:avLst/>
                    </a:prstGeom>
                  </pic:spPr>
                </pic:pic>
              </a:graphicData>
            </a:graphic>
          </wp:inline>
        </w:drawing>
      </w:r>
    </w:p>
    <w:p w14:paraId="347F34BB" w14:textId="681AF5A5" w:rsidR="00DB67DD" w:rsidRDefault="0597DD3F" w:rsidP="13BC8465">
      <w:pPr>
        <w:jc w:val="both"/>
      </w:pPr>
      <w:r>
        <w:t>L'onglet « À COMPTER » affiche les produits sélectionnés sur la page « TOUS LES PRODUITS ». Cette page permet également d'appliquer des filtres pour commencer à compter un nombre précis de produits.</w:t>
      </w:r>
    </w:p>
    <w:p w14:paraId="09EE6CEB" w14:textId="6F1BB262" w:rsidR="00DB67DD" w:rsidRDefault="4F37F9A3" w:rsidP="13BC8465">
      <w:pPr>
        <w:jc w:val="both"/>
      </w:pPr>
      <w:r>
        <w:t xml:space="preserve">Lorsque vous commencez à compter un ou plusieurs produits, le premier comptage est un comptage à l'aveugle : vous ne verrez donc pas la quantité du produit dans OpenBoxes. Vous pouvez également imprimer les formulaires de comptage pour faciliter le comptage en zone de </w:t>
      </w:r>
      <w:r>
        <w:lastRenderedPageBreak/>
        <w:t>stockage ! Une fois le comptage à l'aveugle terminé, OpenBoxes comparera vos données saisies avec celles d'OpenBoxes.</w:t>
      </w:r>
    </w:p>
    <w:p w14:paraId="19CDDC5F" w14:textId="5F87E8C3" w:rsidR="00DB67DD" w:rsidRDefault="00DB67DD" w:rsidP="13BC8465">
      <w:pPr>
        <w:jc w:val="both"/>
      </w:pPr>
    </w:p>
    <w:p w14:paraId="051FF61D" w14:textId="78B67394" w:rsidR="00DB67DD" w:rsidRDefault="4324327F" w:rsidP="13BC8465">
      <w:pPr>
        <w:pStyle w:val="Heading2"/>
        <w:numPr>
          <w:ilvl w:val="0"/>
          <w:numId w:val="4"/>
        </w:numPr>
        <w:jc w:val="both"/>
      </w:pPr>
      <w:bookmarkStart w:id="7" w:name="_Toc1652378767"/>
      <w:r>
        <w:t>Résoudre les divergences</w:t>
      </w:r>
      <w:bookmarkEnd w:id="7"/>
    </w:p>
    <w:p w14:paraId="40A6693E" w14:textId="56526806" w:rsidR="00DB67DD" w:rsidRDefault="2072EAB9" w:rsidP="13BC8465">
      <w:pPr>
        <w:jc w:val="both"/>
      </w:pPr>
      <w:r>
        <w:rPr>
          <w:noProof/>
          <w:lang w:val="en-US"/>
        </w:rPr>
        <w:drawing>
          <wp:inline distT="0" distB="0" distL="0" distR="0" wp14:anchorId="7207A42A" wp14:editId="362C1D38">
            <wp:extent cx="5943600" cy="2343150"/>
            <wp:effectExtent l="0" t="0" r="0" b="0"/>
            <wp:docPr id="2108956045" name="Picture 210895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2343150"/>
                    </a:xfrm>
                    <a:prstGeom prst="rect">
                      <a:avLst/>
                    </a:prstGeom>
                  </pic:spPr>
                </pic:pic>
              </a:graphicData>
            </a:graphic>
          </wp:inline>
        </w:drawing>
      </w:r>
    </w:p>
    <w:p w14:paraId="04456278" w14:textId="27B883EF" w:rsidR="00DB67DD" w:rsidRDefault="2072EAB9" w:rsidP="13BC8465">
      <w:pPr>
        <w:jc w:val="both"/>
      </w:pPr>
      <w:r>
        <w:t>À partir des données du comptage à l'aveugle et des données existantes dans OpenBoxes, vous pouvez consulter la liste des articles présentant des anomalies. Vous pouvez ensuite imprimer un formulaire de recomptage pour qu'une autre personne puisse effectuer une seconde vérification.</w:t>
      </w:r>
    </w:p>
    <w:p w14:paraId="7EFBA354" w14:textId="15BF78A6" w:rsidR="00DB67DD" w:rsidRDefault="70706A53" w:rsidP="13BC8465">
      <w:pPr>
        <w:jc w:val="both"/>
      </w:pPr>
      <w:r>
        <w:t>Pour résoudre les écarts, les utilisateurs doivent saisir la quantité recomptée, la personne qui a recompté et la cause première de chaque produit.</w:t>
      </w:r>
    </w:p>
    <w:p w14:paraId="15EEB706" w14:textId="7FADB09F" w:rsidR="00DB67DD" w:rsidRDefault="00DB67DD" w:rsidP="13BC8465">
      <w:pPr>
        <w:jc w:val="both"/>
      </w:pPr>
    </w:p>
    <w:p w14:paraId="60D64963" w14:textId="3FF73307" w:rsidR="00DB67DD" w:rsidRDefault="6A6D945B" w:rsidP="13BC8465">
      <w:pPr>
        <w:pStyle w:val="Heading1"/>
        <w:jc w:val="both"/>
      </w:pPr>
      <w:bookmarkStart w:id="8" w:name="_Toc1153559156"/>
      <w:r>
        <w:t>AJOUTS FUTURS AU COMPTAGE DES CYCLE!</w:t>
      </w:r>
      <w:bookmarkEnd w:id="8"/>
    </w:p>
    <w:p w14:paraId="3163E734" w14:textId="6D8FD2B8" w:rsidR="00DB67DD" w:rsidRDefault="15208DC5" w:rsidP="13BC8465">
      <w:pPr>
        <w:jc w:val="both"/>
      </w:pPr>
      <w:r>
        <w:t>Cette version pose les bases du Cycle Count, mais d'autres fonctionnalités seront ajoutées dans la prochaine version, notamment les rapports ! Vous trouverez ci-dessous les prochaines nouveautés pour Cycle Count :</w:t>
      </w:r>
    </w:p>
    <w:p w14:paraId="5DCA1A26" w14:textId="0FA307F4" w:rsidR="1F8A598A" w:rsidRDefault="1F8A598A" w:rsidP="13BC8465">
      <w:pPr>
        <w:pStyle w:val="Heading3"/>
        <w:jc w:val="both"/>
        <w:rPr>
          <w:sz w:val="24"/>
        </w:rPr>
      </w:pPr>
      <w:bookmarkStart w:id="9" w:name="_Toc1939414168"/>
      <w:r>
        <w:t>Choisissez des produits</w:t>
      </w:r>
      <w:bookmarkEnd w:id="9"/>
    </w:p>
    <w:p w14:paraId="60F145E2" w14:textId="32037BAA" w:rsidR="1F8A598A" w:rsidRDefault="1F8A598A" w:rsidP="13BC8465">
      <w:pPr>
        <w:pStyle w:val="ListParagraph"/>
        <w:numPr>
          <w:ilvl w:val="0"/>
          <w:numId w:val="1"/>
        </w:numPr>
        <w:jc w:val="both"/>
        <w:rPr>
          <w:szCs w:val="24"/>
        </w:rPr>
      </w:pPr>
      <w:bookmarkStart w:id="10" w:name="_Toc161213406"/>
      <w:bookmarkStart w:id="11" w:name="_Toc168296081"/>
      <w:r w:rsidRPr="13BC8465">
        <w:rPr>
          <w:szCs w:val="24"/>
        </w:rPr>
        <w:t>Indiquez combien de produits vous devez compter pendant cette période (la période peut être déterminée et configurée).</w:t>
      </w:r>
    </w:p>
    <w:p w14:paraId="3D3B2713" w14:textId="289B8DDC" w:rsidR="1F8A598A" w:rsidRDefault="1F8A598A" w:rsidP="13BC8465">
      <w:pPr>
        <w:pStyle w:val="ListParagraph"/>
        <w:numPr>
          <w:ilvl w:val="0"/>
          <w:numId w:val="1"/>
        </w:numPr>
        <w:jc w:val="both"/>
        <w:rPr>
          <w:szCs w:val="24"/>
        </w:rPr>
      </w:pPr>
      <w:r w:rsidRPr="13BC8465">
        <w:rPr>
          <w:szCs w:val="24"/>
        </w:rPr>
        <w:t>Permettre à un responsable d'attribuer des produits à compter à un personnel spécifique avec une date limite pour terminer le comptage.</w:t>
      </w:r>
    </w:p>
    <w:p w14:paraId="59445A34" w14:textId="550433C2" w:rsidR="1F8A598A" w:rsidRDefault="1F8A598A" w:rsidP="13BC8465">
      <w:pPr>
        <w:pStyle w:val="ListParagraph"/>
        <w:numPr>
          <w:ilvl w:val="0"/>
          <w:numId w:val="1"/>
        </w:numPr>
        <w:jc w:val="both"/>
        <w:rPr>
          <w:szCs w:val="24"/>
        </w:rPr>
      </w:pPr>
      <w:r w:rsidRPr="13BC8465">
        <w:rPr>
          <w:szCs w:val="24"/>
        </w:rPr>
        <w:t>Empêcher le démarrage d'un comptage sur les produits dans les expéditions sortantes en attente.</w:t>
      </w:r>
    </w:p>
    <w:p w14:paraId="6E1B2915" w14:textId="67018176" w:rsidR="1F8A598A" w:rsidRDefault="1F8A598A" w:rsidP="13BC8465">
      <w:pPr>
        <w:pStyle w:val="Heading3"/>
        <w:jc w:val="both"/>
        <w:rPr>
          <w:sz w:val="24"/>
        </w:rPr>
      </w:pPr>
      <w:bookmarkStart w:id="12" w:name="_Toc1240784650"/>
      <w:r>
        <w:lastRenderedPageBreak/>
        <w:t>Effectuer le décompte</w:t>
      </w:r>
      <w:bookmarkEnd w:id="12"/>
    </w:p>
    <w:p w14:paraId="487385D4" w14:textId="224E179D" w:rsidR="1F8A598A" w:rsidRDefault="1F8A598A" w:rsidP="13BC8465">
      <w:pPr>
        <w:pStyle w:val="ListParagraph"/>
        <w:numPr>
          <w:ilvl w:val="0"/>
          <w:numId w:val="1"/>
        </w:numPr>
        <w:jc w:val="both"/>
        <w:rPr>
          <w:szCs w:val="24"/>
        </w:rPr>
      </w:pPr>
      <w:r w:rsidRPr="13BC8465">
        <w:rPr>
          <w:szCs w:val="24"/>
        </w:rPr>
        <w:t>Indiquez qu'un article d'inventaire n'est « pas compté » pour les scénarios où un produit se trouve dans plusieurs bacs et que vous comptez les produits uniquement dans des bacs spécifiques.</w:t>
      </w:r>
    </w:p>
    <w:p w14:paraId="46C1923F" w14:textId="19E35EEB" w:rsidR="09C64A6F" w:rsidRDefault="09C64A6F" w:rsidP="13BC8465">
      <w:pPr>
        <w:pStyle w:val="ListParagraph"/>
        <w:numPr>
          <w:ilvl w:val="0"/>
          <w:numId w:val="1"/>
        </w:numPr>
        <w:jc w:val="both"/>
        <w:rPr>
          <w:szCs w:val="24"/>
        </w:rPr>
      </w:pPr>
      <w:r w:rsidRPr="13BC8465">
        <w:rPr>
          <w:szCs w:val="24"/>
        </w:rPr>
        <w:t>Ajoutez un produit dans le flux de travail de comptage pour les scénarios dans lesquels vous comptez tous les articles dans un bac et vous trouvez un article qui n'était pas enregistré auparavant dans ce bac.</w:t>
      </w:r>
    </w:p>
    <w:p w14:paraId="38864CEF" w14:textId="55588584" w:rsidR="09C64A6F" w:rsidRDefault="09C64A6F" w:rsidP="13BC8465">
      <w:pPr>
        <w:pStyle w:val="ListParagraph"/>
        <w:numPr>
          <w:ilvl w:val="0"/>
          <w:numId w:val="1"/>
        </w:numPr>
        <w:jc w:val="both"/>
        <w:rPr>
          <w:szCs w:val="24"/>
        </w:rPr>
      </w:pPr>
      <w:r w:rsidRPr="13BC8465">
        <w:rPr>
          <w:szCs w:val="24"/>
        </w:rPr>
        <w:t>Importation du compte.</w:t>
      </w:r>
    </w:p>
    <w:p w14:paraId="71BC3EFA" w14:textId="5D76F469" w:rsidR="09C64A6F" w:rsidRDefault="09C64A6F" w:rsidP="13BC8465">
      <w:pPr>
        <w:pStyle w:val="ListParagraph"/>
        <w:numPr>
          <w:ilvl w:val="0"/>
          <w:numId w:val="1"/>
        </w:numPr>
        <w:jc w:val="both"/>
        <w:rPr>
          <w:szCs w:val="24"/>
        </w:rPr>
      </w:pPr>
      <w:r w:rsidRPr="13BC8465">
        <w:rPr>
          <w:szCs w:val="24"/>
        </w:rPr>
        <w:t>Inventaire complet ou inventaire long. Actuellement, l'inventaire cyclique prend en charge 50 produits (la disponibilité de cet ajout sera déterminée en fonction de la complexité technique).</w:t>
      </w:r>
    </w:p>
    <w:p w14:paraId="233B6FF3" w14:textId="5923EBB6" w:rsidR="09C64A6F" w:rsidRDefault="09C64A6F" w:rsidP="13BC8465">
      <w:pPr>
        <w:pStyle w:val="Heading3"/>
        <w:jc w:val="both"/>
        <w:rPr>
          <w:sz w:val="24"/>
        </w:rPr>
      </w:pPr>
      <w:bookmarkStart w:id="13" w:name="_Toc1285583067"/>
      <w:r>
        <w:t>Résoudre les divergences</w:t>
      </w:r>
      <w:bookmarkEnd w:id="13"/>
    </w:p>
    <w:p w14:paraId="511F5064" w14:textId="1515267D" w:rsidR="09C64A6F" w:rsidRDefault="09C64A6F" w:rsidP="13BC8465">
      <w:pPr>
        <w:pStyle w:val="ListParagraph"/>
        <w:numPr>
          <w:ilvl w:val="0"/>
          <w:numId w:val="1"/>
        </w:numPr>
        <w:jc w:val="both"/>
        <w:rPr>
          <w:szCs w:val="24"/>
        </w:rPr>
      </w:pPr>
      <w:r w:rsidRPr="13BC8465">
        <w:rPr>
          <w:szCs w:val="24"/>
        </w:rPr>
        <w:t>Vue récapitulative des corrections d'inventaire (ajustements, quantité avant l'ajustement et quantité après l'ajustement) avant enregistrement.</w:t>
      </w:r>
    </w:p>
    <w:p w14:paraId="6E0754A5" w14:textId="3569F9F7" w:rsidR="09C64A6F" w:rsidRDefault="09C64A6F" w:rsidP="13BC8465">
      <w:pPr>
        <w:pStyle w:val="ListParagraph"/>
        <w:numPr>
          <w:ilvl w:val="0"/>
          <w:numId w:val="1"/>
        </w:numPr>
        <w:jc w:val="both"/>
        <w:rPr>
          <w:szCs w:val="24"/>
        </w:rPr>
      </w:pPr>
      <w:r w:rsidRPr="13BC8465">
        <w:rPr>
          <w:szCs w:val="24"/>
        </w:rPr>
        <w:t>Options de mise à jour disponibles dans le champ « Cause profonde ».</w:t>
      </w:r>
    </w:p>
    <w:p w14:paraId="4595059A" w14:textId="06C5F952" w:rsidR="09C64A6F" w:rsidRDefault="09C64A6F" w:rsidP="13BC8465">
      <w:pPr>
        <w:pStyle w:val="ListParagraph"/>
        <w:numPr>
          <w:ilvl w:val="0"/>
          <w:numId w:val="1"/>
        </w:numPr>
        <w:jc w:val="both"/>
        <w:rPr>
          <w:szCs w:val="24"/>
        </w:rPr>
      </w:pPr>
      <w:r w:rsidRPr="13BC8465">
        <w:rPr>
          <w:szCs w:val="24"/>
        </w:rPr>
        <w:t>Fonctionnalité permettant de corriger les erreurs courantes telles que les mauvais bacs/lots/dates d'expiration/transactions manquantes et de détecter automatiquement la cause première !</w:t>
      </w:r>
    </w:p>
    <w:p w14:paraId="01194FD2" w14:textId="62134440" w:rsidR="09C64A6F" w:rsidRDefault="09C64A6F" w:rsidP="13BC8465">
      <w:pPr>
        <w:pStyle w:val="Heading3"/>
        <w:jc w:val="both"/>
        <w:rPr>
          <w:sz w:val="24"/>
        </w:rPr>
      </w:pPr>
      <w:bookmarkStart w:id="14" w:name="_Toc1894481372"/>
      <w:r>
        <w:t>Approuver</w:t>
      </w:r>
      <w:bookmarkEnd w:id="14"/>
    </w:p>
    <w:p w14:paraId="2F74E0FC" w14:textId="0E89D015" w:rsidR="09C64A6F" w:rsidRDefault="09C64A6F" w:rsidP="13BC8465">
      <w:pPr>
        <w:pStyle w:val="ListParagraph"/>
        <w:numPr>
          <w:ilvl w:val="0"/>
          <w:numId w:val="1"/>
        </w:numPr>
        <w:jc w:val="both"/>
        <w:rPr>
          <w:szCs w:val="24"/>
        </w:rPr>
      </w:pPr>
      <w:r w:rsidRPr="13BC8465">
        <w:rPr>
          <w:szCs w:val="24"/>
        </w:rPr>
        <w:t>Tableau spécifique permettant à un approbateur de l'entrepôt d'examiner tous les changements d'inventaire générés par le flux de travail de comptage cyclique.</w:t>
      </w:r>
    </w:p>
    <w:p w14:paraId="76B63C02" w14:textId="4DC1D6E9" w:rsidR="09C64A6F" w:rsidRDefault="09C64A6F" w:rsidP="13BC8465">
      <w:pPr>
        <w:pStyle w:val="ListParagraph"/>
        <w:numPr>
          <w:ilvl w:val="0"/>
          <w:numId w:val="1"/>
        </w:numPr>
        <w:jc w:val="both"/>
        <w:rPr>
          <w:szCs w:val="24"/>
        </w:rPr>
      </w:pPr>
      <w:r w:rsidRPr="13BC8465">
        <w:rPr>
          <w:szCs w:val="24"/>
        </w:rPr>
        <w:t>Fonction d'approbation permettant à l'approbateur de confirmer l'examen des changements d'inventaire.</w:t>
      </w:r>
    </w:p>
    <w:p w14:paraId="68974895" w14:textId="7F19B756" w:rsidR="09C64A6F" w:rsidRDefault="09C64A6F" w:rsidP="13BC8465">
      <w:pPr>
        <w:pStyle w:val="Heading3"/>
        <w:jc w:val="both"/>
        <w:rPr>
          <w:sz w:val="24"/>
        </w:rPr>
      </w:pPr>
      <w:bookmarkStart w:id="15" w:name="_Toc1555421260"/>
      <w:r>
        <w:t>Rapports</w:t>
      </w:r>
      <w:bookmarkEnd w:id="15"/>
    </w:p>
    <w:p w14:paraId="719AA756" w14:textId="5C0C261F" w:rsidR="09C64A6F" w:rsidRDefault="09C64A6F" w:rsidP="13BC8465">
      <w:pPr>
        <w:pStyle w:val="ListParagraph"/>
        <w:numPr>
          <w:ilvl w:val="0"/>
          <w:numId w:val="1"/>
        </w:numPr>
        <w:jc w:val="both"/>
        <w:rPr>
          <w:szCs w:val="24"/>
        </w:rPr>
      </w:pPr>
      <w:r w:rsidRPr="13BC8465">
        <w:rPr>
          <w:szCs w:val="24"/>
        </w:rPr>
        <w:t>Indicateur de précision des stocks basé sur les comptages cycliques et le nombre d'écarts.</w:t>
      </w:r>
    </w:p>
    <w:p w14:paraId="1712C65A" w14:textId="290D0889" w:rsidR="09C64A6F" w:rsidRDefault="09C64A6F" w:rsidP="13BC8465">
      <w:pPr>
        <w:pStyle w:val="ListParagraph"/>
        <w:numPr>
          <w:ilvl w:val="0"/>
          <w:numId w:val="1"/>
        </w:numPr>
        <w:jc w:val="both"/>
        <w:rPr>
          <w:szCs w:val="24"/>
        </w:rPr>
      </w:pPr>
      <w:r w:rsidRPr="13BC8465">
        <w:rPr>
          <w:szCs w:val="24"/>
        </w:rPr>
        <w:t>Tableau récapitulatif de toutes les transactions d'inventaire jamais créées dans le système, avec des filtres d'analyse et des enregistrements d'audit.</w:t>
      </w:r>
    </w:p>
    <w:p w14:paraId="64333FF5" w14:textId="1B7EEA0E" w:rsidR="09C64A6F" w:rsidRDefault="09C64A6F" w:rsidP="13BC8465">
      <w:pPr>
        <w:pStyle w:val="ListParagraph"/>
        <w:numPr>
          <w:ilvl w:val="0"/>
          <w:numId w:val="1"/>
        </w:numPr>
        <w:jc w:val="both"/>
        <w:rPr>
          <w:szCs w:val="24"/>
        </w:rPr>
      </w:pPr>
      <w:r w:rsidRPr="13BC8465">
        <w:rPr>
          <w:szCs w:val="24"/>
        </w:rPr>
        <w:t>Une suite de rapports complète avec un tableau de bord avec d'autres indicateurs pour surveiller le travail de comptage cyclique et la précision des stocks au fil du temps.</w:t>
      </w:r>
    </w:p>
    <w:p w14:paraId="62731649" w14:textId="3B8F392D" w:rsidR="09C64A6F" w:rsidRDefault="09C64A6F" w:rsidP="13BC8465">
      <w:pPr>
        <w:pStyle w:val="ListParagraph"/>
        <w:numPr>
          <w:ilvl w:val="0"/>
          <w:numId w:val="1"/>
        </w:numPr>
        <w:jc w:val="both"/>
        <w:rPr>
          <w:szCs w:val="24"/>
        </w:rPr>
      </w:pPr>
      <w:r w:rsidRPr="13BC8465">
        <w:rPr>
          <w:szCs w:val="24"/>
        </w:rPr>
        <w:t>Rapport de leadership qui montre comment les stocks et la valeur des stocks sont affectés par les écarts de stocks.</w:t>
      </w:r>
    </w:p>
    <w:p w14:paraId="30B85F6E" w14:textId="77777777" w:rsidR="00952720" w:rsidRDefault="00952720" w:rsidP="00952720">
      <w:pPr>
        <w:rPr>
          <w:rStyle w:val="Heading3Char"/>
        </w:rPr>
      </w:pPr>
    </w:p>
    <w:p w14:paraId="64C1414E" w14:textId="77777777" w:rsidR="00952720" w:rsidRPr="00952720" w:rsidRDefault="00952720" w:rsidP="00952720"/>
    <w:bookmarkEnd w:id="10"/>
    <w:bookmarkEnd w:id="11"/>
    <w:p w14:paraId="057CF9F2" w14:textId="5AE9991E" w:rsidR="00A55967" w:rsidRDefault="00A55967" w:rsidP="00C74A0A">
      <w:pPr>
        <w:jc w:val="both"/>
      </w:pPr>
    </w:p>
    <w:p w14:paraId="490FF79A" w14:textId="527CFDF0" w:rsidR="00903584" w:rsidRPr="002B190A" w:rsidRDefault="00180E33" w:rsidP="002B190A">
      <w:pPr>
        <w:keepNext/>
        <w:rPr>
          <w:sz w:val="22"/>
        </w:rPr>
      </w:pPr>
      <w:r w:rsidRPr="005E138B">
        <w:rPr>
          <w:sz w:val="22"/>
        </w:rPr>
        <w:t xml:space="preserve"> </w:t>
      </w:r>
      <w:bookmarkStart w:id="16" w:name="_GoBack"/>
      <w:bookmarkEnd w:id="16"/>
    </w:p>
    <w:sectPr w:rsidR="00903584" w:rsidRPr="002B190A" w:rsidSect="00251CB7">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DEC47" w14:textId="77777777" w:rsidR="006954E2" w:rsidRDefault="006954E2" w:rsidP="000014DF">
      <w:pPr>
        <w:spacing w:after="0" w:line="240" w:lineRule="auto"/>
      </w:pPr>
      <w:r>
        <w:separator/>
      </w:r>
    </w:p>
  </w:endnote>
  <w:endnote w:type="continuationSeparator" w:id="0">
    <w:p w14:paraId="7ACA0352" w14:textId="77777777" w:rsidR="006954E2" w:rsidRDefault="006954E2" w:rsidP="000014DF">
      <w:pPr>
        <w:spacing w:after="0" w:line="240" w:lineRule="auto"/>
      </w:pPr>
      <w:r>
        <w:continuationSeparator/>
      </w:r>
    </w:p>
  </w:endnote>
  <w:endnote w:type="continuationNotice" w:id="1">
    <w:p w14:paraId="7C2E977C" w14:textId="77777777" w:rsidR="006954E2" w:rsidRDefault="00695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3BC8465" w14:paraId="6A76B2A3" w14:textId="77777777" w:rsidTr="13BC8465">
      <w:trPr>
        <w:trHeight w:val="300"/>
      </w:trPr>
      <w:tc>
        <w:tcPr>
          <w:tcW w:w="3120" w:type="dxa"/>
        </w:tcPr>
        <w:p w14:paraId="6135D971" w14:textId="634F43D0" w:rsidR="13BC8465" w:rsidRDefault="13BC8465" w:rsidP="13BC8465">
          <w:pPr>
            <w:pStyle w:val="Header"/>
            <w:ind w:left="-115"/>
          </w:pPr>
        </w:p>
      </w:tc>
      <w:tc>
        <w:tcPr>
          <w:tcW w:w="3120" w:type="dxa"/>
        </w:tcPr>
        <w:p w14:paraId="1C7A1EDB" w14:textId="17EB4734" w:rsidR="13BC8465" w:rsidRDefault="13BC8465" w:rsidP="13BC8465">
          <w:pPr>
            <w:pStyle w:val="Header"/>
            <w:jc w:val="center"/>
          </w:pPr>
        </w:p>
      </w:tc>
      <w:tc>
        <w:tcPr>
          <w:tcW w:w="3120" w:type="dxa"/>
        </w:tcPr>
        <w:p w14:paraId="3FF6CEF8" w14:textId="2B3A1B82" w:rsidR="13BC8465" w:rsidRDefault="13BC8465" w:rsidP="13BC8465">
          <w:pPr>
            <w:pStyle w:val="Header"/>
            <w:ind w:right="-115"/>
            <w:jc w:val="right"/>
          </w:pPr>
        </w:p>
      </w:tc>
    </w:tr>
  </w:tbl>
  <w:p w14:paraId="5AF9D349" w14:textId="6B8F75C8" w:rsidR="13BC8465" w:rsidRDefault="13BC8465" w:rsidP="13BC8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3BC8465" w14:paraId="45E66244" w14:textId="77777777" w:rsidTr="13BC8465">
      <w:trPr>
        <w:trHeight w:val="300"/>
      </w:trPr>
      <w:tc>
        <w:tcPr>
          <w:tcW w:w="3120" w:type="dxa"/>
        </w:tcPr>
        <w:p w14:paraId="0BDA2FD5" w14:textId="715F3B7E" w:rsidR="13BC8465" w:rsidRDefault="13BC8465" w:rsidP="13BC8465">
          <w:pPr>
            <w:pStyle w:val="Header"/>
            <w:ind w:left="-115"/>
          </w:pPr>
        </w:p>
      </w:tc>
      <w:tc>
        <w:tcPr>
          <w:tcW w:w="3120" w:type="dxa"/>
        </w:tcPr>
        <w:p w14:paraId="099DD6D7" w14:textId="5005F194" w:rsidR="13BC8465" w:rsidRDefault="13BC8465" w:rsidP="13BC8465">
          <w:pPr>
            <w:pStyle w:val="Header"/>
            <w:jc w:val="center"/>
          </w:pPr>
        </w:p>
      </w:tc>
      <w:tc>
        <w:tcPr>
          <w:tcW w:w="3120" w:type="dxa"/>
        </w:tcPr>
        <w:p w14:paraId="7B4FB36C" w14:textId="2B922A9C" w:rsidR="13BC8465" w:rsidRDefault="13BC8465" w:rsidP="13BC8465">
          <w:pPr>
            <w:pStyle w:val="Header"/>
            <w:ind w:right="-115"/>
            <w:jc w:val="right"/>
          </w:pPr>
        </w:p>
      </w:tc>
    </w:tr>
  </w:tbl>
  <w:p w14:paraId="22F55B05" w14:textId="26D73F1E" w:rsidR="13BC8465" w:rsidRDefault="13BC8465" w:rsidP="13BC8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BA4D6" w14:textId="77777777" w:rsidR="006954E2" w:rsidRDefault="006954E2" w:rsidP="000014DF">
      <w:pPr>
        <w:spacing w:after="0" w:line="240" w:lineRule="auto"/>
      </w:pPr>
      <w:r>
        <w:separator/>
      </w:r>
    </w:p>
  </w:footnote>
  <w:footnote w:type="continuationSeparator" w:id="0">
    <w:p w14:paraId="0EB9FE33" w14:textId="77777777" w:rsidR="006954E2" w:rsidRDefault="006954E2" w:rsidP="000014DF">
      <w:pPr>
        <w:spacing w:after="0" w:line="240" w:lineRule="auto"/>
      </w:pPr>
      <w:r>
        <w:continuationSeparator/>
      </w:r>
    </w:p>
  </w:footnote>
  <w:footnote w:type="continuationNotice" w:id="1">
    <w:p w14:paraId="5A17D223" w14:textId="77777777" w:rsidR="006954E2" w:rsidRDefault="00695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94AF" w14:textId="665BE7C6" w:rsidR="006954E2" w:rsidRPr="000014DF" w:rsidRDefault="13BC8465" w:rsidP="13BC8465">
    <w:pPr>
      <w:pStyle w:val="Header"/>
      <w:jc w:val="center"/>
      <w:rPr>
        <w:b/>
        <w:bCs/>
        <w:sz w:val="36"/>
        <w:szCs w:val="36"/>
      </w:rPr>
    </w:pPr>
    <w:r w:rsidRPr="13BC8465">
      <w:rPr>
        <w:b/>
        <w:bCs/>
        <w:sz w:val="36"/>
        <w:szCs w:val="36"/>
      </w:rPr>
      <w:t>NOTES DE VERSION 0.9.4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3BC8465" w14:paraId="3FA762CD" w14:textId="77777777" w:rsidTr="13BC8465">
      <w:trPr>
        <w:trHeight w:val="300"/>
      </w:trPr>
      <w:tc>
        <w:tcPr>
          <w:tcW w:w="3120" w:type="dxa"/>
        </w:tcPr>
        <w:p w14:paraId="43DFB79E" w14:textId="1EBD8AC6" w:rsidR="13BC8465" w:rsidRDefault="13BC8465" w:rsidP="13BC8465">
          <w:pPr>
            <w:pStyle w:val="Header"/>
            <w:ind w:left="-115"/>
          </w:pPr>
        </w:p>
      </w:tc>
      <w:tc>
        <w:tcPr>
          <w:tcW w:w="3120" w:type="dxa"/>
        </w:tcPr>
        <w:p w14:paraId="06E763FA" w14:textId="313CD4A7" w:rsidR="13BC8465" w:rsidRDefault="13BC8465" w:rsidP="13BC8465">
          <w:pPr>
            <w:pStyle w:val="Header"/>
            <w:jc w:val="center"/>
          </w:pPr>
        </w:p>
      </w:tc>
      <w:tc>
        <w:tcPr>
          <w:tcW w:w="3120" w:type="dxa"/>
        </w:tcPr>
        <w:p w14:paraId="052D11DE" w14:textId="082594B0" w:rsidR="13BC8465" w:rsidRDefault="13BC8465" w:rsidP="13BC8465">
          <w:pPr>
            <w:pStyle w:val="Header"/>
            <w:ind w:right="-115"/>
            <w:jc w:val="right"/>
          </w:pPr>
        </w:p>
      </w:tc>
    </w:tr>
  </w:tbl>
  <w:p w14:paraId="0F174D7D" w14:textId="406C7BEE" w:rsidR="13BC8465" w:rsidRDefault="13BC8465" w:rsidP="13BC8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E27"/>
    <w:multiLevelType w:val="hybridMultilevel"/>
    <w:tmpl w:val="4CCA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C525B"/>
    <w:multiLevelType w:val="hybridMultilevel"/>
    <w:tmpl w:val="0F9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816B4"/>
    <w:multiLevelType w:val="hybridMultilevel"/>
    <w:tmpl w:val="B5C4B984"/>
    <w:lvl w:ilvl="0" w:tplc="378C4E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F0CA4"/>
    <w:multiLevelType w:val="hybridMultilevel"/>
    <w:tmpl w:val="35A8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3C187D"/>
    <w:multiLevelType w:val="hybridMultilevel"/>
    <w:tmpl w:val="2C700A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EF60176"/>
    <w:multiLevelType w:val="hybridMultilevel"/>
    <w:tmpl w:val="6604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9483F"/>
    <w:multiLevelType w:val="hybridMultilevel"/>
    <w:tmpl w:val="559E27DE"/>
    <w:lvl w:ilvl="0" w:tplc="7AD26A2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4D24"/>
    <w:multiLevelType w:val="hybridMultilevel"/>
    <w:tmpl w:val="CD84C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EF7810"/>
    <w:multiLevelType w:val="hybridMultilevel"/>
    <w:tmpl w:val="AD18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D197E"/>
    <w:multiLevelType w:val="hybridMultilevel"/>
    <w:tmpl w:val="9314D8C8"/>
    <w:lvl w:ilvl="0" w:tplc="F50EDE76">
      <w:start w:val="1"/>
      <w:numFmt w:val="decimal"/>
      <w:lvlText w:val="%1."/>
      <w:lvlJc w:val="left"/>
      <w:pPr>
        <w:ind w:left="720" w:hanging="360"/>
      </w:pPr>
    </w:lvl>
    <w:lvl w:ilvl="1" w:tplc="10444B0C">
      <w:start w:val="1"/>
      <w:numFmt w:val="lowerLetter"/>
      <w:lvlText w:val="%2."/>
      <w:lvlJc w:val="left"/>
      <w:pPr>
        <w:ind w:left="1440" w:hanging="360"/>
      </w:pPr>
    </w:lvl>
    <w:lvl w:ilvl="2" w:tplc="65F49D2E">
      <w:start w:val="1"/>
      <w:numFmt w:val="lowerRoman"/>
      <w:lvlText w:val="%3."/>
      <w:lvlJc w:val="right"/>
      <w:pPr>
        <w:ind w:left="2160" w:hanging="180"/>
      </w:pPr>
    </w:lvl>
    <w:lvl w:ilvl="3" w:tplc="722CA1FC">
      <w:start w:val="1"/>
      <w:numFmt w:val="decimal"/>
      <w:lvlText w:val="%4."/>
      <w:lvlJc w:val="left"/>
      <w:pPr>
        <w:ind w:left="2880" w:hanging="360"/>
      </w:pPr>
    </w:lvl>
    <w:lvl w:ilvl="4" w:tplc="F31E57C6">
      <w:start w:val="1"/>
      <w:numFmt w:val="lowerLetter"/>
      <w:lvlText w:val="%5."/>
      <w:lvlJc w:val="left"/>
      <w:pPr>
        <w:ind w:left="3600" w:hanging="360"/>
      </w:pPr>
    </w:lvl>
    <w:lvl w:ilvl="5" w:tplc="BF76894E">
      <w:start w:val="1"/>
      <w:numFmt w:val="lowerRoman"/>
      <w:lvlText w:val="%6."/>
      <w:lvlJc w:val="right"/>
      <w:pPr>
        <w:ind w:left="4320" w:hanging="180"/>
      </w:pPr>
    </w:lvl>
    <w:lvl w:ilvl="6" w:tplc="1EE22B74">
      <w:start w:val="1"/>
      <w:numFmt w:val="decimal"/>
      <w:lvlText w:val="%7."/>
      <w:lvlJc w:val="left"/>
      <w:pPr>
        <w:ind w:left="5040" w:hanging="360"/>
      </w:pPr>
    </w:lvl>
    <w:lvl w:ilvl="7" w:tplc="6EA4EB2E">
      <w:start w:val="1"/>
      <w:numFmt w:val="lowerLetter"/>
      <w:lvlText w:val="%8."/>
      <w:lvlJc w:val="left"/>
      <w:pPr>
        <w:ind w:left="5760" w:hanging="360"/>
      </w:pPr>
    </w:lvl>
    <w:lvl w:ilvl="8" w:tplc="F4AAAAB8">
      <w:start w:val="1"/>
      <w:numFmt w:val="lowerRoman"/>
      <w:lvlText w:val="%9."/>
      <w:lvlJc w:val="right"/>
      <w:pPr>
        <w:ind w:left="6480" w:hanging="180"/>
      </w:pPr>
    </w:lvl>
  </w:abstractNum>
  <w:abstractNum w:abstractNumId="10" w15:restartNumberingAfterBreak="0">
    <w:nsid w:val="2EDFA4B6"/>
    <w:multiLevelType w:val="hybridMultilevel"/>
    <w:tmpl w:val="9C249A02"/>
    <w:lvl w:ilvl="0" w:tplc="AD74B16C">
      <w:start w:val="1"/>
      <w:numFmt w:val="decimal"/>
      <w:lvlText w:val="%1."/>
      <w:lvlJc w:val="left"/>
      <w:pPr>
        <w:ind w:left="720" w:hanging="360"/>
      </w:pPr>
    </w:lvl>
    <w:lvl w:ilvl="1" w:tplc="148809B8">
      <w:start w:val="1"/>
      <w:numFmt w:val="lowerLetter"/>
      <w:lvlText w:val="%2."/>
      <w:lvlJc w:val="left"/>
      <w:pPr>
        <w:ind w:left="1440" w:hanging="360"/>
      </w:pPr>
    </w:lvl>
    <w:lvl w:ilvl="2" w:tplc="2DA45396">
      <w:start w:val="1"/>
      <w:numFmt w:val="lowerRoman"/>
      <w:lvlText w:val="%3."/>
      <w:lvlJc w:val="right"/>
      <w:pPr>
        <w:ind w:left="2160" w:hanging="180"/>
      </w:pPr>
    </w:lvl>
    <w:lvl w:ilvl="3" w:tplc="130619EE">
      <w:start w:val="1"/>
      <w:numFmt w:val="decimal"/>
      <w:lvlText w:val="%4."/>
      <w:lvlJc w:val="left"/>
      <w:pPr>
        <w:ind w:left="2880" w:hanging="360"/>
      </w:pPr>
    </w:lvl>
    <w:lvl w:ilvl="4" w:tplc="356274B2">
      <w:start w:val="1"/>
      <w:numFmt w:val="lowerLetter"/>
      <w:lvlText w:val="%5."/>
      <w:lvlJc w:val="left"/>
      <w:pPr>
        <w:ind w:left="3600" w:hanging="360"/>
      </w:pPr>
    </w:lvl>
    <w:lvl w:ilvl="5" w:tplc="6C9C1C76">
      <w:start w:val="1"/>
      <w:numFmt w:val="lowerRoman"/>
      <w:lvlText w:val="%6."/>
      <w:lvlJc w:val="right"/>
      <w:pPr>
        <w:ind w:left="4320" w:hanging="180"/>
      </w:pPr>
    </w:lvl>
    <w:lvl w:ilvl="6" w:tplc="4AE813BE">
      <w:start w:val="1"/>
      <w:numFmt w:val="decimal"/>
      <w:lvlText w:val="%7."/>
      <w:lvlJc w:val="left"/>
      <w:pPr>
        <w:ind w:left="5040" w:hanging="360"/>
      </w:pPr>
    </w:lvl>
    <w:lvl w:ilvl="7" w:tplc="E3B2B6F8">
      <w:start w:val="1"/>
      <w:numFmt w:val="lowerLetter"/>
      <w:lvlText w:val="%8."/>
      <w:lvlJc w:val="left"/>
      <w:pPr>
        <w:ind w:left="5760" w:hanging="360"/>
      </w:pPr>
    </w:lvl>
    <w:lvl w:ilvl="8" w:tplc="F002206E">
      <w:start w:val="1"/>
      <w:numFmt w:val="lowerRoman"/>
      <w:lvlText w:val="%9."/>
      <w:lvlJc w:val="right"/>
      <w:pPr>
        <w:ind w:left="6480" w:hanging="180"/>
      </w:pPr>
    </w:lvl>
  </w:abstractNum>
  <w:abstractNum w:abstractNumId="11" w15:restartNumberingAfterBreak="0">
    <w:nsid w:val="30764A62"/>
    <w:multiLevelType w:val="hybridMultilevel"/>
    <w:tmpl w:val="DB165B66"/>
    <w:lvl w:ilvl="0" w:tplc="7E5E3C2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57B5B"/>
    <w:multiLevelType w:val="hybridMultilevel"/>
    <w:tmpl w:val="5E6CB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52CE3"/>
    <w:multiLevelType w:val="hybridMultilevel"/>
    <w:tmpl w:val="7A8E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30154"/>
    <w:multiLevelType w:val="hybridMultilevel"/>
    <w:tmpl w:val="55FC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C2E77"/>
    <w:multiLevelType w:val="hybridMultilevel"/>
    <w:tmpl w:val="A5D2D504"/>
    <w:lvl w:ilvl="0" w:tplc="FF06514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C7607"/>
    <w:multiLevelType w:val="hybridMultilevel"/>
    <w:tmpl w:val="FB2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7465E"/>
    <w:multiLevelType w:val="hybridMultilevel"/>
    <w:tmpl w:val="7F7C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22C89"/>
    <w:multiLevelType w:val="hybridMultilevel"/>
    <w:tmpl w:val="A42CB7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04E106"/>
    <w:multiLevelType w:val="hybridMultilevel"/>
    <w:tmpl w:val="C1CC22C2"/>
    <w:lvl w:ilvl="0" w:tplc="B0ECDBFA">
      <w:start w:val="1"/>
      <w:numFmt w:val="lowerRoman"/>
      <w:lvlText w:val="%1."/>
      <w:lvlJc w:val="left"/>
      <w:pPr>
        <w:ind w:left="1800" w:hanging="360"/>
      </w:pPr>
    </w:lvl>
    <w:lvl w:ilvl="1" w:tplc="B4F23AEE">
      <w:start w:val="1"/>
      <w:numFmt w:val="lowerLetter"/>
      <w:lvlText w:val="%2."/>
      <w:lvlJc w:val="left"/>
      <w:pPr>
        <w:ind w:left="2520" w:hanging="360"/>
      </w:pPr>
    </w:lvl>
    <w:lvl w:ilvl="2" w:tplc="2C7857BA">
      <w:start w:val="1"/>
      <w:numFmt w:val="lowerRoman"/>
      <w:lvlText w:val="%3."/>
      <w:lvlJc w:val="right"/>
      <w:pPr>
        <w:ind w:left="3240" w:hanging="180"/>
      </w:pPr>
    </w:lvl>
    <w:lvl w:ilvl="3" w:tplc="E784712A">
      <w:start w:val="1"/>
      <w:numFmt w:val="decimal"/>
      <w:lvlText w:val="%4."/>
      <w:lvlJc w:val="left"/>
      <w:pPr>
        <w:ind w:left="3960" w:hanging="360"/>
      </w:pPr>
    </w:lvl>
    <w:lvl w:ilvl="4" w:tplc="D660D998">
      <w:start w:val="1"/>
      <w:numFmt w:val="lowerLetter"/>
      <w:lvlText w:val="%5."/>
      <w:lvlJc w:val="left"/>
      <w:pPr>
        <w:ind w:left="4680" w:hanging="360"/>
      </w:pPr>
    </w:lvl>
    <w:lvl w:ilvl="5" w:tplc="1B2EF7E6">
      <w:start w:val="1"/>
      <w:numFmt w:val="lowerRoman"/>
      <w:lvlText w:val="%6."/>
      <w:lvlJc w:val="right"/>
      <w:pPr>
        <w:ind w:left="5400" w:hanging="180"/>
      </w:pPr>
    </w:lvl>
    <w:lvl w:ilvl="6" w:tplc="E84C4348">
      <w:start w:val="1"/>
      <w:numFmt w:val="decimal"/>
      <w:lvlText w:val="%7."/>
      <w:lvlJc w:val="left"/>
      <w:pPr>
        <w:ind w:left="6120" w:hanging="360"/>
      </w:pPr>
    </w:lvl>
    <w:lvl w:ilvl="7" w:tplc="B5C4CBCC">
      <w:start w:val="1"/>
      <w:numFmt w:val="lowerLetter"/>
      <w:lvlText w:val="%8."/>
      <w:lvlJc w:val="left"/>
      <w:pPr>
        <w:ind w:left="6840" w:hanging="360"/>
      </w:pPr>
    </w:lvl>
    <w:lvl w:ilvl="8" w:tplc="DBEEE96A">
      <w:start w:val="1"/>
      <w:numFmt w:val="lowerRoman"/>
      <w:lvlText w:val="%9."/>
      <w:lvlJc w:val="right"/>
      <w:pPr>
        <w:ind w:left="7560" w:hanging="180"/>
      </w:pPr>
    </w:lvl>
  </w:abstractNum>
  <w:abstractNum w:abstractNumId="20" w15:restartNumberingAfterBreak="0">
    <w:nsid w:val="52F36F45"/>
    <w:multiLevelType w:val="hybridMultilevel"/>
    <w:tmpl w:val="A40CE454"/>
    <w:lvl w:ilvl="0" w:tplc="7AD26A2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60D41"/>
    <w:multiLevelType w:val="hybridMultilevel"/>
    <w:tmpl w:val="2C4E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E1BEA"/>
    <w:multiLevelType w:val="hybridMultilevel"/>
    <w:tmpl w:val="15F8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C7FBD"/>
    <w:multiLevelType w:val="hybridMultilevel"/>
    <w:tmpl w:val="A0F0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B1B96"/>
    <w:multiLevelType w:val="hybridMultilevel"/>
    <w:tmpl w:val="4E3CE4E8"/>
    <w:lvl w:ilvl="0" w:tplc="093210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734B6"/>
    <w:multiLevelType w:val="hybridMultilevel"/>
    <w:tmpl w:val="E5847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301A4E"/>
    <w:multiLevelType w:val="hybridMultilevel"/>
    <w:tmpl w:val="ADD65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66BD5"/>
    <w:multiLevelType w:val="hybridMultilevel"/>
    <w:tmpl w:val="B1F0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C6044"/>
    <w:multiLevelType w:val="hybridMultilevel"/>
    <w:tmpl w:val="C7EE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63BE6"/>
    <w:multiLevelType w:val="hybridMultilevel"/>
    <w:tmpl w:val="2B3286F2"/>
    <w:lvl w:ilvl="0" w:tplc="6E263076">
      <w:start w:val="1"/>
      <w:numFmt w:val="lowerLetter"/>
      <w:lvlText w:val="%1."/>
      <w:lvlJc w:val="left"/>
      <w:pPr>
        <w:ind w:left="720" w:hanging="360"/>
      </w:pPr>
    </w:lvl>
    <w:lvl w:ilvl="1" w:tplc="84960096">
      <w:start w:val="1"/>
      <w:numFmt w:val="lowerRoman"/>
      <w:lvlText w:val="%2."/>
      <w:lvlJc w:val="right"/>
      <w:pPr>
        <w:ind w:left="1440" w:hanging="360"/>
      </w:pPr>
    </w:lvl>
    <w:lvl w:ilvl="2" w:tplc="D52ED77A">
      <w:start w:val="1"/>
      <w:numFmt w:val="lowerRoman"/>
      <w:lvlText w:val="%3."/>
      <w:lvlJc w:val="right"/>
      <w:pPr>
        <w:ind w:left="2160" w:hanging="180"/>
      </w:pPr>
    </w:lvl>
    <w:lvl w:ilvl="3" w:tplc="0034014A">
      <w:start w:val="1"/>
      <w:numFmt w:val="decimal"/>
      <w:lvlText w:val="%4."/>
      <w:lvlJc w:val="left"/>
      <w:pPr>
        <w:ind w:left="2880" w:hanging="360"/>
      </w:pPr>
    </w:lvl>
    <w:lvl w:ilvl="4" w:tplc="E65600E6">
      <w:start w:val="1"/>
      <w:numFmt w:val="lowerLetter"/>
      <w:lvlText w:val="%5."/>
      <w:lvlJc w:val="left"/>
      <w:pPr>
        <w:ind w:left="3600" w:hanging="360"/>
      </w:pPr>
    </w:lvl>
    <w:lvl w:ilvl="5" w:tplc="D15EAAE2">
      <w:start w:val="1"/>
      <w:numFmt w:val="lowerRoman"/>
      <w:lvlText w:val="%6."/>
      <w:lvlJc w:val="right"/>
      <w:pPr>
        <w:ind w:left="4320" w:hanging="180"/>
      </w:pPr>
    </w:lvl>
    <w:lvl w:ilvl="6" w:tplc="388CE66E">
      <w:start w:val="1"/>
      <w:numFmt w:val="decimal"/>
      <w:lvlText w:val="%7."/>
      <w:lvlJc w:val="left"/>
      <w:pPr>
        <w:ind w:left="5040" w:hanging="360"/>
      </w:pPr>
    </w:lvl>
    <w:lvl w:ilvl="7" w:tplc="91145416">
      <w:start w:val="1"/>
      <w:numFmt w:val="lowerLetter"/>
      <w:lvlText w:val="%8."/>
      <w:lvlJc w:val="left"/>
      <w:pPr>
        <w:ind w:left="5760" w:hanging="360"/>
      </w:pPr>
    </w:lvl>
    <w:lvl w:ilvl="8" w:tplc="34CCF6F4">
      <w:start w:val="1"/>
      <w:numFmt w:val="lowerRoman"/>
      <w:lvlText w:val="%9."/>
      <w:lvlJc w:val="right"/>
      <w:pPr>
        <w:ind w:left="6480" w:hanging="180"/>
      </w:pPr>
    </w:lvl>
  </w:abstractNum>
  <w:abstractNum w:abstractNumId="30" w15:restartNumberingAfterBreak="0">
    <w:nsid w:val="6630F46B"/>
    <w:multiLevelType w:val="hybridMultilevel"/>
    <w:tmpl w:val="3C5CF7C8"/>
    <w:lvl w:ilvl="0" w:tplc="3686354E">
      <w:start w:val="1"/>
      <w:numFmt w:val="bullet"/>
      <w:lvlText w:val=""/>
      <w:lvlJc w:val="left"/>
      <w:pPr>
        <w:ind w:left="720" w:hanging="360"/>
      </w:pPr>
      <w:rPr>
        <w:rFonts w:ascii="Symbol" w:hAnsi="Symbol" w:hint="default"/>
      </w:rPr>
    </w:lvl>
    <w:lvl w:ilvl="1" w:tplc="3B849640">
      <w:start w:val="1"/>
      <w:numFmt w:val="bullet"/>
      <w:lvlText w:val="o"/>
      <w:lvlJc w:val="left"/>
      <w:pPr>
        <w:ind w:left="1440" w:hanging="360"/>
      </w:pPr>
      <w:rPr>
        <w:rFonts w:ascii="Courier New" w:hAnsi="Courier New" w:hint="default"/>
      </w:rPr>
    </w:lvl>
    <w:lvl w:ilvl="2" w:tplc="984E67F6">
      <w:start w:val="1"/>
      <w:numFmt w:val="bullet"/>
      <w:lvlText w:val=""/>
      <w:lvlJc w:val="left"/>
      <w:pPr>
        <w:ind w:left="2160" w:hanging="360"/>
      </w:pPr>
      <w:rPr>
        <w:rFonts w:ascii="Wingdings" w:hAnsi="Wingdings" w:hint="default"/>
      </w:rPr>
    </w:lvl>
    <w:lvl w:ilvl="3" w:tplc="BA4EBF62">
      <w:start w:val="1"/>
      <w:numFmt w:val="bullet"/>
      <w:lvlText w:val=""/>
      <w:lvlJc w:val="left"/>
      <w:pPr>
        <w:ind w:left="2880" w:hanging="360"/>
      </w:pPr>
      <w:rPr>
        <w:rFonts w:ascii="Symbol" w:hAnsi="Symbol" w:hint="default"/>
      </w:rPr>
    </w:lvl>
    <w:lvl w:ilvl="4" w:tplc="A81CDFBE">
      <w:start w:val="1"/>
      <w:numFmt w:val="bullet"/>
      <w:lvlText w:val="o"/>
      <w:lvlJc w:val="left"/>
      <w:pPr>
        <w:ind w:left="3600" w:hanging="360"/>
      </w:pPr>
      <w:rPr>
        <w:rFonts w:ascii="Courier New" w:hAnsi="Courier New" w:hint="default"/>
      </w:rPr>
    </w:lvl>
    <w:lvl w:ilvl="5" w:tplc="2ED2A244">
      <w:start w:val="1"/>
      <w:numFmt w:val="bullet"/>
      <w:lvlText w:val=""/>
      <w:lvlJc w:val="left"/>
      <w:pPr>
        <w:ind w:left="4320" w:hanging="360"/>
      </w:pPr>
      <w:rPr>
        <w:rFonts w:ascii="Wingdings" w:hAnsi="Wingdings" w:hint="default"/>
      </w:rPr>
    </w:lvl>
    <w:lvl w:ilvl="6" w:tplc="79346616">
      <w:start w:val="1"/>
      <w:numFmt w:val="bullet"/>
      <w:lvlText w:val=""/>
      <w:lvlJc w:val="left"/>
      <w:pPr>
        <w:ind w:left="5040" w:hanging="360"/>
      </w:pPr>
      <w:rPr>
        <w:rFonts w:ascii="Symbol" w:hAnsi="Symbol" w:hint="default"/>
      </w:rPr>
    </w:lvl>
    <w:lvl w:ilvl="7" w:tplc="CA165570">
      <w:start w:val="1"/>
      <w:numFmt w:val="bullet"/>
      <w:lvlText w:val="o"/>
      <w:lvlJc w:val="left"/>
      <w:pPr>
        <w:ind w:left="5760" w:hanging="360"/>
      </w:pPr>
      <w:rPr>
        <w:rFonts w:ascii="Courier New" w:hAnsi="Courier New" w:hint="default"/>
      </w:rPr>
    </w:lvl>
    <w:lvl w:ilvl="8" w:tplc="FC8AF4A4">
      <w:start w:val="1"/>
      <w:numFmt w:val="bullet"/>
      <w:lvlText w:val=""/>
      <w:lvlJc w:val="left"/>
      <w:pPr>
        <w:ind w:left="6480" w:hanging="360"/>
      </w:pPr>
      <w:rPr>
        <w:rFonts w:ascii="Wingdings" w:hAnsi="Wingdings" w:hint="default"/>
      </w:rPr>
    </w:lvl>
  </w:abstractNum>
  <w:abstractNum w:abstractNumId="31" w15:restartNumberingAfterBreak="0">
    <w:nsid w:val="6ED35B4E"/>
    <w:multiLevelType w:val="hybridMultilevel"/>
    <w:tmpl w:val="0DE4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F22FE"/>
    <w:multiLevelType w:val="hybridMultilevel"/>
    <w:tmpl w:val="A252A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405B2"/>
    <w:multiLevelType w:val="hybridMultilevel"/>
    <w:tmpl w:val="64964AE4"/>
    <w:lvl w:ilvl="0" w:tplc="CC8A7C9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C468A"/>
    <w:multiLevelType w:val="hybridMultilevel"/>
    <w:tmpl w:val="D6CA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1556A"/>
    <w:multiLevelType w:val="hybridMultilevel"/>
    <w:tmpl w:val="2E9A3710"/>
    <w:lvl w:ilvl="0" w:tplc="7AD26A20">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616ED3"/>
    <w:multiLevelType w:val="hybridMultilevel"/>
    <w:tmpl w:val="FC26C644"/>
    <w:lvl w:ilvl="0" w:tplc="EDC425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29"/>
  </w:num>
  <w:num w:numId="4">
    <w:abstractNumId w:val="10"/>
  </w:num>
  <w:num w:numId="5">
    <w:abstractNumId w:val="9"/>
  </w:num>
  <w:num w:numId="6">
    <w:abstractNumId w:val="23"/>
  </w:num>
  <w:num w:numId="7">
    <w:abstractNumId w:val="34"/>
  </w:num>
  <w:num w:numId="8">
    <w:abstractNumId w:val="0"/>
  </w:num>
  <w:num w:numId="9">
    <w:abstractNumId w:val="21"/>
  </w:num>
  <w:num w:numId="10">
    <w:abstractNumId w:val="17"/>
  </w:num>
  <w:num w:numId="11">
    <w:abstractNumId w:val="22"/>
  </w:num>
  <w:num w:numId="12">
    <w:abstractNumId w:val="14"/>
  </w:num>
  <w:num w:numId="13">
    <w:abstractNumId w:val="5"/>
  </w:num>
  <w:num w:numId="14">
    <w:abstractNumId w:val="12"/>
  </w:num>
  <w:num w:numId="15">
    <w:abstractNumId w:val="18"/>
  </w:num>
  <w:num w:numId="16">
    <w:abstractNumId w:val="7"/>
  </w:num>
  <w:num w:numId="17">
    <w:abstractNumId w:val="4"/>
  </w:num>
  <w:num w:numId="18">
    <w:abstractNumId w:val="32"/>
  </w:num>
  <w:num w:numId="19">
    <w:abstractNumId w:val="31"/>
  </w:num>
  <w:num w:numId="20">
    <w:abstractNumId w:val="2"/>
  </w:num>
  <w:num w:numId="21">
    <w:abstractNumId w:val="16"/>
  </w:num>
  <w:num w:numId="22">
    <w:abstractNumId w:val="13"/>
  </w:num>
  <w:num w:numId="23">
    <w:abstractNumId w:val="36"/>
  </w:num>
  <w:num w:numId="24">
    <w:abstractNumId w:val="28"/>
  </w:num>
  <w:num w:numId="25">
    <w:abstractNumId w:val="15"/>
  </w:num>
  <w:num w:numId="26">
    <w:abstractNumId w:val="27"/>
  </w:num>
  <w:num w:numId="27">
    <w:abstractNumId w:val="11"/>
  </w:num>
  <w:num w:numId="28">
    <w:abstractNumId w:val="24"/>
  </w:num>
  <w:num w:numId="29">
    <w:abstractNumId w:val="33"/>
  </w:num>
  <w:num w:numId="30">
    <w:abstractNumId w:val="1"/>
  </w:num>
  <w:num w:numId="31">
    <w:abstractNumId w:val="3"/>
  </w:num>
  <w:num w:numId="32">
    <w:abstractNumId w:val="20"/>
  </w:num>
  <w:num w:numId="33">
    <w:abstractNumId w:val="35"/>
  </w:num>
  <w:num w:numId="34">
    <w:abstractNumId w:val="25"/>
  </w:num>
  <w:num w:numId="35">
    <w:abstractNumId w:val="26"/>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DF"/>
    <w:rsid w:val="000014DF"/>
    <w:rsid w:val="000137FE"/>
    <w:rsid w:val="0003220D"/>
    <w:rsid w:val="00051EE1"/>
    <w:rsid w:val="0005254E"/>
    <w:rsid w:val="00076C09"/>
    <w:rsid w:val="00076F9A"/>
    <w:rsid w:val="000A2F86"/>
    <w:rsid w:val="000C057B"/>
    <w:rsid w:val="000C276B"/>
    <w:rsid w:val="000F0FE3"/>
    <w:rsid w:val="000F4E0D"/>
    <w:rsid w:val="000F635B"/>
    <w:rsid w:val="00114EB4"/>
    <w:rsid w:val="0013367C"/>
    <w:rsid w:val="001338F2"/>
    <w:rsid w:val="00136267"/>
    <w:rsid w:val="00162852"/>
    <w:rsid w:val="00163EB1"/>
    <w:rsid w:val="001778EC"/>
    <w:rsid w:val="00180E33"/>
    <w:rsid w:val="001826CA"/>
    <w:rsid w:val="00184C1E"/>
    <w:rsid w:val="001A05AC"/>
    <w:rsid w:val="001C1E53"/>
    <w:rsid w:val="001C46DB"/>
    <w:rsid w:val="001D1CE3"/>
    <w:rsid w:val="001F2CFF"/>
    <w:rsid w:val="002006F3"/>
    <w:rsid w:val="00205712"/>
    <w:rsid w:val="002119F1"/>
    <w:rsid w:val="0024184A"/>
    <w:rsid w:val="00242773"/>
    <w:rsid w:val="002471AD"/>
    <w:rsid w:val="00247ADB"/>
    <w:rsid w:val="00247EDD"/>
    <w:rsid w:val="00251BF4"/>
    <w:rsid w:val="00251CB7"/>
    <w:rsid w:val="002575D9"/>
    <w:rsid w:val="002756FE"/>
    <w:rsid w:val="00276364"/>
    <w:rsid w:val="0028001B"/>
    <w:rsid w:val="00290D50"/>
    <w:rsid w:val="00292654"/>
    <w:rsid w:val="002A60B9"/>
    <w:rsid w:val="002B190A"/>
    <w:rsid w:val="002B7A36"/>
    <w:rsid w:val="002F5CCD"/>
    <w:rsid w:val="003021B1"/>
    <w:rsid w:val="00306BB9"/>
    <w:rsid w:val="00335316"/>
    <w:rsid w:val="003445EF"/>
    <w:rsid w:val="00354BCC"/>
    <w:rsid w:val="00357CC5"/>
    <w:rsid w:val="003633BF"/>
    <w:rsid w:val="00375479"/>
    <w:rsid w:val="003B2AC8"/>
    <w:rsid w:val="003D4CEE"/>
    <w:rsid w:val="003E3C0C"/>
    <w:rsid w:val="003F07CD"/>
    <w:rsid w:val="003F25C3"/>
    <w:rsid w:val="00403CB3"/>
    <w:rsid w:val="0040489D"/>
    <w:rsid w:val="00404C59"/>
    <w:rsid w:val="00415805"/>
    <w:rsid w:val="00430EB0"/>
    <w:rsid w:val="0043135F"/>
    <w:rsid w:val="00435483"/>
    <w:rsid w:val="00437FE3"/>
    <w:rsid w:val="004408A0"/>
    <w:rsid w:val="00445EF6"/>
    <w:rsid w:val="004516F4"/>
    <w:rsid w:val="00451AE4"/>
    <w:rsid w:val="00496D5A"/>
    <w:rsid w:val="004A2B19"/>
    <w:rsid w:val="004D26D4"/>
    <w:rsid w:val="004E26EE"/>
    <w:rsid w:val="004F364B"/>
    <w:rsid w:val="005078A0"/>
    <w:rsid w:val="00507D19"/>
    <w:rsid w:val="00510AF0"/>
    <w:rsid w:val="005115ED"/>
    <w:rsid w:val="0051695B"/>
    <w:rsid w:val="0052279A"/>
    <w:rsid w:val="00563FD2"/>
    <w:rsid w:val="00565704"/>
    <w:rsid w:val="00565D22"/>
    <w:rsid w:val="0057691E"/>
    <w:rsid w:val="005869C8"/>
    <w:rsid w:val="005A3F15"/>
    <w:rsid w:val="005B5F67"/>
    <w:rsid w:val="005D68DC"/>
    <w:rsid w:val="005D72DE"/>
    <w:rsid w:val="005E138B"/>
    <w:rsid w:val="00604683"/>
    <w:rsid w:val="0061191C"/>
    <w:rsid w:val="00617982"/>
    <w:rsid w:val="00622587"/>
    <w:rsid w:val="00624406"/>
    <w:rsid w:val="00630A6E"/>
    <w:rsid w:val="0063618F"/>
    <w:rsid w:val="006367C6"/>
    <w:rsid w:val="006369B9"/>
    <w:rsid w:val="00641426"/>
    <w:rsid w:val="00646B1E"/>
    <w:rsid w:val="00667B21"/>
    <w:rsid w:val="00676346"/>
    <w:rsid w:val="006954E2"/>
    <w:rsid w:val="006C1C10"/>
    <w:rsid w:val="006D3436"/>
    <w:rsid w:val="006D4204"/>
    <w:rsid w:val="006D5A99"/>
    <w:rsid w:val="006D641F"/>
    <w:rsid w:val="006E413F"/>
    <w:rsid w:val="006E476D"/>
    <w:rsid w:val="006F0C5E"/>
    <w:rsid w:val="006F0DF2"/>
    <w:rsid w:val="0070291A"/>
    <w:rsid w:val="0070744C"/>
    <w:rsid w:val="00707CEB"/>
    <w:rsid w:val="00710D59"/>
    <w:rsid w:val="00713F15"/>
    <w:rsid w:val="00740EAA"/>
    <w:rsid w:val="0076005B"/>
    <w:rsid w:val="00760B27"/>
    <w:rsid w:val="00763C3A"/>
    <w:rsid w:val="00775C2B"/>
    <w:rsid w:val="007766A7"/>
    <w:rsid w:val="0079B92A"/>
    <w:rsid w:val="007B4933"/>
    <w:rsid w:val="007C3B09"/>
    <w:rsid w:val="007E2098"/>
    <w:rsid w:val="00806743"/>
    <w:rsid w:val="00812CFF"/>
    <w:rsid w:val="0081490C"/>
    <w:rsid w:val="008457CA"/>
    <w:rsid w:val="00851939"/>
    <w:rsid w:val="008552F2"/>
    <w:rsid w:val="00871F81"/>
    <w:rsid w:val="008A0A9D"/>
    <w:rsid w:val="008A2E4C"/>
    <w:rsid w:val="008B0772"/>
    <w:rsid w:val="008B4471"/>
    <w:rsid w:val="008C3DBF"/>
    <w:rsid w:val="008D543F"/>
    <w:rsid w:val="008F31A8"/>
    <w:rsid w:val="008F7FF3"/>
    <w:rsid w:val="00903584"/>
    <w:rsid w:val="00903BA3"/>
    <w:rsid w:val="00903C58"/>
    <w:rsid w:val="00907E8F"/>
    <w:rsid w:val="00912EA5"/>
    <w:rsid w:val="00915AEE"/>
    <w:rsid w:val="00915F7B"/>
    <w:rsid w:val="009414C1"/>
    <w:rsid w:val="00945714"/>
    <w:rsid w:val="009468E7"/>
    <w:rsid w:val="00946D27"/>
    <w:rsid w:val="00952720"/>
    <w:rsid w:val="009569BC"/>
    <w:rsid w:val="00957919"/>
    <w:rsid w:val="009604C5"/>
    <w:rsid w:val="00964B84"/>
    <w:rsid w:val="00967EE0"/>
    <w:rsid w:val="00974677"/>
    <w:rsid w:val="00983176"/>
    <w:rsid w:val="00987A81"/>
    <w:rsid w:val="009A5243"/>
    <w:rsid w:val="009A5DAC"/>
    <w:rsid w:val="009B508D"/>
    <w:rsid w:val="009C6C3F"/>
    <w:rsid w:val="009E1EC9"/>
    <w:rsid w:val="00A12DF1"/>
    <w:rsid w:val="00A30A4F"/>
    <w:rsid w:val="00A3255B"/>
    <w:rsid w:val="00A36545"/>
    <w:rsid w:val="00A43BF4"/>
    <w:rsid w:val="00A55967"/>
    <w:rsid w:val="00A55A76"/>
    <w:rsid w:val="00A75002"/>
    <w:rsid w:val="00A777B2"/>
    <w:rsid w:val="00A94456"/>
    <w:rsid w:val="00AA3DEC"/>
    <w:rsid w:val="00AA5534"/>
    <w:rsid w:val="00AB629C"/>
    <w:rsid w:val="00AC210F"/>
    <w:rsid w:val="00AC3563"/>
    <w:rsid w:val="00AC3B8A"/>
    <w:rsid w:val="00AD14F6"/>
    <w:rsid w:val="00AD3464"/>
    <w:rsid w:val="00AF2321"/>
    <w:rsid w:val="00AF56AA"/>
    <w:rsid w:val="00B23BB9"/>
    <w:rsid w:val="00B269E0"/>
    <w:rsid w:val="00B30FA9"/>
    <w:rsid w:val="00B361E9"/>
    <w:rsid w:val="00B5763C"/>
    <w:rsid w:val="00BB3155"/>
    <w:rsid w:val="00BB3F3E"/>
    <w:rsid w:val="00BB4D51"/>
    <w:rsid w:val="00BB5633"/>
    <w:rsid w:val="00BC2E72"/>
    <w:rsid w:val="00BC5965"/>
    <w:rsid w:val="00BD443C"/>
    <w:rsid w:val="00BE31C6"/>
    <w:rsid w:val="00BE4B66"/>
    <w:rsid w:val="00BE52A2"/>
    <w:rsid w:val="00BE69D1"/>
    <w:rsid w:val="00BE6A63"/>
    <w:rsid w:val="00BF50D0"/>
    <w:rsid w:val="00C0568A"/>
    <w:rsid w:val="00C15C4A"/>
    <w:rsid w:val="00C21FD6"/>
    <w:rsid w:val="00C30C6A"/>
    <w:rsid w:val="00C3317F"/>
    <w:rsid w:val="00C359F5"/>
    <w:rsid w:val="00C470AB"/>
    <w:rsid w:val="00C65E3D"/>
    <w:rsid w:val="00C675B4"/>
    <w:rsid w:val="00C74A0A"/>
    <w:rsid w:val="00CC6143"/>
    <w:rsid w:val="00CD0E08"/>
    <w:rsid w:val="00CE3EE8"/>
    <w:rsid w:val="00CF4B6D"/>
    <w:rsid w:val="00D10C68"/>
    <w:rsid w:val="00D14D5E"/>
    <w:rsid w:val="00D211FF"/>
    <w:rsid w:val="00D26C26"/>
    <w:rsid w:val="00D26DDB"/>
    <w:rsid w:val="00D30033"/>
    <w:rsid w:val="00D82E29"/>
    <w:rsid w:val="00D954BC"/>
    <w:rsid w:val="00DB67DD"/>
    <w:rsid w:val="00DC1AFC"/>
    <w:rsid w:val="00DC4392"/>
    <w:rsid w:val="00DC540C"/>
    <w:rsid w:val="00DD03A5"/>
    <w:rsid w:val="00DD2108"/>
    <w:rsid w:val="00DF356C"/>
    <w:rsid w:val="00E032FF"/>
    <w:rsid w:val="00E06E2F"/>
    <w:rsid w:val="00E11508"/>
    <w:rsid w:val="00E27080"/>
    <w:rsid w:val="00E536AB"/>
    <w:rsid w:val="00E56516"/>
    <w:rsid w:val="00E61308"/>
    <w:rsid w:val="00E67521"/>
    <w:rsid w:val="00E70339"/>
    <w:rsid w:val="00E7140A"/>
    <w:rsid w:val="00E81DEB"/>
    <w:rsid w:val="00EA2783"/>
    <w:rsid w:val="00EC110E"/>
    <w:rsid w:val="00EC2A36"/>
    <w:rsid w:val="00ED35F5"/>
    <w:rsid w:val="00F01E4F"/>
    <w:rsid w:val="00F01EA1"/>
    <w:rsid w:val="00F0304D"/>
    <w:rsid w:val="00F10961"/>
    <w:rsid w:val="00F41E68"/>
    <w:rsid w:val="00F45FE4"/>
    <w:rsid w:val="00F908C4"/>
    <w:rsid w:val="00F92F86"/>
    <w:rsid w:val="00F96D76"/>
    <w:rsid w:val="00FA18EA"/>
    <w:rsid w:val="00FA19AF"/>
    <w:rsid w:val="00FA26CD"/>
    <w:rsid w:val="00FA2719"/>
    <w:rsid w:val="00FB09BC"/>
    <w:rsid w:val="00FD04F0"/>
    <w:rsid w:val="00FD1703"/>
    <w:rsid w:val="00FE268C"/>
    <w:rsid w:val="00FF10C8"/>
    <w:rsid w:val="00FF5CD9"/>
    <w:rsid w:val="02415648"/>
    <w:rsid w:val="02D0ACAC"/>
    <w:rsid w:val="02D14BF3"/>
    <w:rsid w:val="03810D68"/>
    <w:rsid w:val="03AA74E9"/>
    <w:rsid w:val="03BC965A"/>
    <w:rsid w:val="03D27A35"/>
    <w:rsid w:val="04917C2F"/>
    <w:rsid w:val="04C44DDD"/>
    <w:rsid w:val="04EF4FF7"/>
    <w:rsid w:val="0504F7CD"/>
    <w:rsid w:val="0515978F"/>
    <w:rsid w:val="0597DD3F"/>
    <w:rsid w:val="062825AE"/>
    <w:rsid w:val="063CD851"/>
    <w:rsid w:val="0720F5D7"/>
    <w:rsid w:val="078A8059"/>
    <w:rsid w:val="094A69F6"/>
    <w:rsid w:val="09C64A6F"/>
    <w:rsid w:val="0A66E626"/>
    <w:rsid w:val="0BEFE70B"/>
    <w:rsid w:val="0C9DD969"/>
    <w:rsid w:val="0CAFE61B"/>
    <w:rsid w:val="0CC6CD64"/>
    <w:rsid w:val="0D5FFF0A"/>
    <w:rsid w:val="0D8BB76C"/>
    <w:rsid w:val="0F2787CD"/>
    <w:rsid w:val="11E8CB21"/>
    <w:rsid w:val="13BC8465"/>
    <w:rsid w:val="13DF293F"/>
    <w:rsid w:val="149F7590"/>
    <w:rsid w:val="14E476ED"/>
    <w:rsid w:val="15208DC5"/>
    <w:rsid w:val="15342DC1"/>
    <w:rsid w:val="157DA0F4"/>
    <w:rsid w:val="1686BDD1"/>
    <w:rsid w:val="17A21288"/>
    <w:rsid w:val="18DDC625"/>
    <w:rsid w:val="1A394E86"/>
    <w:rsid w:val="1B440919"/>
    <w:rsid w:val="1B9E0CD9"/>
    <w:rsid w:val="1BC4B774"/>
    <w:rsid w:val="1BEBF5C2"/>
    <w:rsid w:val="1C269427"/>
    <w:rsid w:val="1C828D82"/>
    <w:rsid w:val="1C95FA7C"/>
    <w:rsid w:val="1D367030"/>
    <w:rsid w:val="1D8DF5F4"/>
    <w:rsid w:val="1DA9B6AC"/>
    <w:rsid w:val="1DBAC4F1"/>
    <w:rsid w:val="1DF21B54"/>
    <w:rsid w:val="1DF76397"/>
    <w:rsid w:val="1F8A598A"/>
    <w:rsid w:val="202F3F36"/>
    <w:rsid w:val="2072EAB9"/>
    <w:rsid w:val="208C0DD6"/>
    <w:rsid w:val="211EB5A1"/>
    <w:rsid w:val="21C0BF30"/>
    <w:rsid w:val="22705C3C"/>
    <w:rsid w:val="232F5574"/>
    <w:rsid w:val="2336BE92"/>
    <w:rsid w:val="2402E245"/>
    <w:rsid w:val="246260EA"/>
    <w:rsid w:val="26984357"/>
    <w:rsid w:val="280A2FB5"/>
    <w:rsid w:val="2883E5C6"/>
    <w:rsid w:val="28D35306"/>
    <w:rsid w:val="2AAA498D"/>
    <w:rsid w:val="2C452105"/>
    <w:rsid w:val="2C4EBBC7"/>
    <w:rsid w:val="2CF45A38"/>
    <w:rsid w:val="2D704F6C"/>
    <w:rsid w:val="2FCDEF45"/>
    <w:rsid w:val="302D206F"/>
    <w:rsid w:val="314FFB16"/>
    <w:rsid w:val="325639CE"/>
    <w:rsid w:val="3273AD63"/>
    <w:rsid w:val="32A808A9"/>
    <w:rsid w:val="331C783E"/>
    <w:rsid w:val="35902386"/>
    <w:rsid w:val="370C1652"/>
    <w:rsid w:val="389A1F72"/>
    <w:rsid w:val="38A7282C"/>
    <w:rsid w:val="39AEB803"/>
    <w:rsid w:val="3C070546"/>
    <w:rsid w:val="3C906606"/>
    <w:rsid w:val="3D8AD633"/>
    <w:rsid w:val="3D92E0E0"/>
    <w:rsid w:val="3DDE6AC7"/>
    <w:rsid w:val="3DE0ADFD"/>
    <w:rsid w:val="3EC790B2"/>
    <w:rsid w:val="3F68CA83"/>
    <w:rsid w:val="3F901D80"/>
    <w:rsid w:val="3F91BBA3"/>
    <w:rsid w:val="3FD6EAC6"/>
    <w:rsid w:val="4034C0AF"/>
    <w:rsid w:val="40D81AD5"/>
    <w:rsid w:val="423F7826"/>
    <w:rsid w:val="43113619"/>
    <w:rsid w:val="4324327F"/>
    <w:rsid w:val="43B8150C"/>
    <w:rsid w:val="445501AA"/>
    <w:rsid w:val="4539047C"/>
    <w:rsid w:val="45924C7A"/>
    <w:rsid w:val="459DE2EA"/>
    <w:rsid w:val="478ED7BC"/>
    <w:rsid w:val="47F776A9"/>
    <w:rsid w:val="489FAF5C"/>
    <w:rsid w:val="48C425EC"/>
    <w:rsid w:val="49011A07"/>
    <w:rsid w:val="4A5FA21F"/>
    <w:rsid w:val="4B53BF45"/>
    <w:rsid w:val="4BB769AE"/>
    <w:rsid w:val="4F37F9A3"/>
    <w:rsid w:val="50310866"/>
    <w:rsid w:val="5061A746"/>
    <w:rsid w:val="50F8B3EE"/>
    <w:rsid w:val="5146DE5A"/>
    <w:rsid w:val="515ABFB1"/>
    <w:rsid w:val="51AD0775"/>
    <w:rsid w:val="5214347C"/>
    <w:rsid w:val="523C9233"/>
    <w:rsid w:val="526502D9"/>
    <w:rsid w:val="53892F7E"/>
    <w:rsid w:val="53B21EBB"/>
    <w:rsid w:val="545BB20C"/>
    <w:rsid w:val="5600C732"/>
    <w:rsid w:val="562BEFDB"/>
    <w:rsid w:val="56547489"/>
    <w:rsid w:val="565D2DF4"/>
    <w:rsid w:val="5715C038"/>
    <w:rsid w:val="579FA2DD"/>
    <w:rsid w:val="57D09EE0"/>
    <w:rsid w:val="592F232F"/>
    <w:rsid w:val="59360D37"/>
    <w:rsid w:val="5B48F817"/>
    <w:rsid w:val="5BC57044"/>
    <w:rsid w:val="5C183465"/>
    <w:rsid w:val="5C3D4982"/>
    <w:rsid w:val="5C9728DB"/>
    <w:rsid w:val="5D5AA40D"/>
    <w:rsid w:val="5DEBA5B5"/>
    <w:rsid w:val="5EAF057E"/>
    <w:rsid w:val="5F93AF9D"/>
    <w:rsid w:val="60FE88F4"/>
    <w:rsid w:val="619C298B"/>
    <w:rsid w:val="61A26344"/>
    <w:rsid w:val="61D107AB"/>
    <w:rsid w:val="61D6AAC6"/>
    <w:rsid w:val="621E4FDC"/>
    <w:rsid w:val="62D38000"/>
    <w:rsid w:val="62F71CC1"/>
    <w:rsid w:val="639B7D79"/>
    <w:rsid w:val="63F3D4A7"/>
    <w:rsid w:val="644A752A"/>
    <w:rsid w:val="647CBA2C"/>
    <w:rsid w:val="648CF827"/>
    <w:rsid w:val="64C9DF7A"/>
    <w:rsid w:val="654858D0"/>
    <w:rsid w:val="65B3E894"/>
    <w:rsid w:val="660DE7BF"/>
    <w:rsid w:val="670499A8"/>
    <w:rsid w:val="683FEB3A"/>
    <w:rsid w:val="68680419"/>
    <w:rsid w:val="68AA5493"/>
    <w:rsid w:val="68C71090"/>
    <w:rsid w:val="6A6D945B"/>
    <w:rsid w:val="6CD375EE"/>
    <w:rsid w:val="6EA6819E"/>
    <w:rsid w:val="6FCD7825"/>
    <w:rsid w:val="70706A53"/>
    <w:rsid w:val="7097D842"/>
    <w:rsid w:val="709EB1F7"/>
    <w:rsid w:val="70CFF736"/>
    <w:rsid w:val="70EFC5ED"/>
    <w:rsid w:val="71D41B03"/>
    <w:rsid w:val="73604D17"/>
    <w:rsid w:val="736D79F8"/>
    <w:rsid w:val="744A501C"/>
    <w:rsid w:val="756A4574"/>
    <w:rsid w:val="758F1212"/>
    <w:rsid w:val="75BA2325"/>
    <w:rsid w:val="76128497"/>
    <w:rsid w:val="78CF8E9E"/>
    <w:rsid w:val="7A45899D"/>
    <w:rsid w:val="7B306665"/>
    <w:rsid w:val="7BC93F6E"/>
    <w:rsid w:val="7D1AC1E5"/>
    <w:rsid w:val="7DA96F13"/>
    <w:rsid w:val="7DB38758"/>
    <w:rsid w:val="7DDA1A2A"/>
    <w:rsid w:val="7DE55F38"/>
    <w:rsid w:val="7E3BCBE8"/>
    <w:rsid w:val="7E55AF50"/>
    <w:rsid w:val="7F05B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8DF99"/>
  <w15:chartTrackingRefBased/>
  <w15:docId w15:val="{4CE1DCFD-08D4-45C4-97BB-80F29AB2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F1"/>
    <w:rPr>
      <w:sz w:val="24"/>
    </w:rPr>
  </w:style>
  <w:style w:type="paragraph" w:styleId="Heading1">
    <w:name w:val="heading 1"/>
    <w:basedOn w:val="Normal"/>
    <w:next w:val="Normal"/>
    <w:link w:val="Heading1Char"/>
    <w:uiPriority w:val="9"/>
    <w:qFormat/>
    <w:rsid w:val="00A12DF1"/>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A12DF1"/>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A12DF1"/>
    <w:pPr>
      <w:keepNext/>
      <w:keepLines/>
      <w:spacing w:before="40" w:after="0"/>
      <w:outlineLvl w:val="2"/>
    </w:pPr>
    <w:rPr>
      <w:rFonts w:asciiTheme="majorHAnsi" w:eastAsiaTheme="majorEastAsia" w:hAnsiTheme="majorHAnsi"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BD44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D44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DF1"/>
    <w:rPr>
      <w:rFonts w:asciiTheme="majorHAnsi" w:eastAsiaTheme="majorEastAsia" w:hAnsiTheme="majorHAnsi" w:cstheme="majorBidi"/>
      <w:color w:val="2E74B5" w:themeColor="accent1" w:themeShade="BF"/>
      <w:sz w:val="40"/>
      <w:szCs w:val="32"/>
    </w:rPr>
  </w:style>
  <w:style w:type="paragraph" w:styleId="TOCHeading">
    <w:name w:val="TOC Heading"/>
    <w:basedOn w:val="Heading1"/>
    <w:next w:val="Normal"/>
    <w:uiPriority w:val="39"/>
    <w:unhideWhenUsed/>
    <w:qFormat/>
    <w:rsid w:val="000014DF"/>
    <w:pPr>
      <w:outlineLvl w:val="9"/>
    </w:pPr>
  </w:style>
  <w:style w:type="paragraph" w:styleId="TOC1">
    <w:name w:val="toc 1"/>
    <w:basedOn w:val="Normal"/>
    <w:next w:val="Normal"/>
    <w:autoRedefine/>
    <w:uiPriority w:val="39"/>
    <w:unhideWhenUsed/>
    <w:rsid w:val="000014DF"/>
    <w:pPr>
      <w:spacing w:after="100"/>
    </w:pPr>
  </w:style>
  <w:style w:type="character" w:styleId="Hyperlink">
    <w:name w:val="Hyperlink"/>
    <w:basedOn w:val="DefaultParagraphFont"/>
    <w:uiPriority w:val="99"/>
    <w:unhideWhenUsed/>
    <w:rsid w:val="000014DF"/>
    <w:rPr>
      <w:color w:val="0563C1" w:themeColor="hyperlink"/>
      <w:u w:val="single"/>
    </w:rPr>
  </w:style>
  <w:style w:type="paragraph" w:styleId="Header">
    <w:name w:val="header"/>
    <w:basedOn w:val="Normal"/>
    <w:link w:val="HeaderChar"/>
    <w:uiPriority w:val="99"/>
    <w:unhideWhenUsed/>
    <w:rsid w:val="0000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4DF"/>
  </w:style>
  <w:style w:type="paragraph" w:styleId="Footer">
    <w:name w:val="footer"/>
    <w:basedOn w:val="Normal"/>
    <w:link w:val="FooterChar"/>
    <w:uiPriority w:val="99"/>
    <w:unhideWhenUsed/>
    <w:rsid w:val="0000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4DF"/>
  </w:style>
  <w:style w:type="character" w:customStyle="1" w:styleId="Heading2Char">
    <w:name w:val="Heading 2 Char"/>
    <w:basedOn w:val="DefaultParagraphFont"/>
    <w:link w:val="Heading2"/>
    <w:uiPriority w:val="9"/>
    <w:rsid w:val="00A12DF1"/>
    <w:rPr>
      <w:rFonts w:asciiTheme="majorHAnsi" w:eastAsiaTheme="majorEastAsia" w:hAnsiTheme="majorHAnsi" w:cstheme="majorBidi"/>
      <w:color w:val="2E74B5" w:themeColor="accent1" w:themeShade="BF"/>
      <w:sz w:val="32"/>
      <w:szCs w:val="26"/>
    </w:rPr>
  </w:style>
  <w:style w:type="character" w:customStyle="1" w:styleId="Heading3Char">
    <w:name w:val="Heading 3 Char"/>
    <w:basedOn w:val="DefaultParagraphFont"/>
    <w:link w:val="Heading3"/>
    <w:uiPriority w:val="9"/>
    <w:rsid w:val="00A12DF1"/>
    <w:rPr>
      <w:rFonts w:asciiTheme="majorHAnsi" w:eastAsiaTheme="majorEastAsia" w:hAnsiTheme="majorHAnsi" w:cstheme="majorBidi"/>
      <w:color w:val="1F4D78" w:themeColor="accent1" w:themeShade="7F"/>
      <w:sz w:val="28"/>
      <w:szCs w:val="24"/>
    </w:rPr>
  </w:style>
  <w:style w:type="paragraph" w:styleId="ListParagraph">
    <w:name w:val="List Paragraph"/>
    <w:basedOn w:val="Normal"/>
    <w:uiPriority w:val="34"/>
    <w:qFormat/>
    <w:rsid w:val="00BB5633"/>
    <w:pPr>
      <w:ind w:left="720"/>
      <w:contextualSpacing/>
    </w:pPr>
  </w:style>
  <w:style w:type="paragraph" w:styleId="TOC2">
    <w:name w:val="toc 2"/>
    <w:basedOn w:val="Normal"/>
    <w:next w:val="Normal"/>
    <w:autoRedefine/>
    <w:uiPriority w:val="39"/>
    <w:unhideWhenUsed/>
    <w:rsid w:val="00987A81"/>
    <w:pPr>
      <w:spacing w:after="100"/>
      <w:ind w:left="240"/>
    </w:pPr>
  </w:style>
  <w:style w:type="paragraph" w:styleId="TOC3">
    <w:name w:val="toc 3"/>
    <w:basedOn w:val="Normal"/>
    <w:next w:val="Normal"/>
    <w:autoRedefine/>
    <w:uiPriority w:val="39"/>
    <w:unhideWhenUsed/>
    <w:rsid w:val="00987A81"/>
    <w:pPr>
      <w:spacing w:after="100"/>
      <w:ind w:left="480"/>
    </w:pPr>
  </w:style>
  <w:style w:type="character" w:customStyle="1" w:styleId="Heading4Char">
    <w:name w:val="Heading 4 Char"/>
    <w:basedOn w:val="DefaultParagraphFont"/>
    <w:link w:val="Heading4"/>
    <w:uiPriority w:val="9"/>
    <w:rsid w:val="00BD443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D443C"/>
    <w:rPr>
      <w:rFonts w:asciiTheme="majorHAnsi" w:eastAsiaTheme="majorEastAsia" w:hAnsiTheme="majorHAnsi" w:cstheme="majorBidi"/>
      <w:color w:val="2E74B5" w:themeColor="accent1" w:themeShade="BF"/>
      <w:sz w:val="24"/>
    </w:rPr>
  </w:style>
  <w:style w:type="paragraph" w:styleId="NormalWeb">
    <w:name w:val="Normal (Web)"/>
    <w:basedOn w:val="Normal"/>
    <w:uiPriority w:val="99"/>
    <w:unhideWhenUsed/>
    <w:rsid w:val="00EA2783"/>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A94456"/>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95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69BC"/>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021B1"/>
    <w:rPr>
      <w:color w:val="954F72" w:themeColor="followedHyperlink"/>
      <w:u w:val="single"/>
    </w:rPr>
  </w:style>
  <w:style w:type="character" w:styleId="SubtleReference">
    <w:name w:val="Subtle Reference"/>
    <w:basedOn w:val="DefaultParagraphFont"/>
    <w:uiPriority w:val="31"/>
    <w:qFormat/>
    <w:rsid w:val="13BC8465"/>
    <w:rPr>
      <w:smallCaps/>
      <w:color w:val="5A5A5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7470">
      <w:bodyDiv w:val="1"/>
      <w:marLeft w:val="0"/>
      <w:marRight w:val="0"/>
      <w:marTop w:val="0"/>
      <w:marBottom w:val="0"/>
      <w:divBdr>
        <w:top w:val="none" w:sz="0" w:space="0" w:color="auto"/>
        <w:left w:val="none" w:sz="0" w:space="0" w:color="auto"/>
        <w:bottom w:val="none" w:sz="0" w:space="0" w:color="auto"/>
        <w:right w:val="none" w:sz="0" w:space="0" w:color="auto"/>
      </w:divBdr>
    </w:div>
    <w:div w:id="934896689">
      <w:bodyDiv w:val="1"/>
      <w:marLeft w:val="0"/>
      <w:marRight w:val="0"/>
      <w:marTop w:val="0"/>
      <w:marBottom w:val="0"/>
      <w:divBdr>
        <w:top w:val="none" w:sz="0" w:space="0" w:color="auto"/>
        <w:left w:val="none" w:sz="0" w:space="0" w:color="auto"/>
        <w:bottom w:val="none" w:sz="0" w:space="0" w:color="auto"/>
        <w:right w:val="none" w:sz="0" w:space="0" w:color="auto"/>
      </w:divBdr>
    </w:div>
    <w:div w:id="13802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nersinhealth.sharepoint.com/:w:/r/sites/Cross-SiteSupplyChain/Shared%20Documents/OpenBoxes/Release%20Documents/1%20English%20Versions/Release%20Notes%200.9.4.docx?d=w5d2436bfc9954398a36342724ed41b72&amp;csf=1&amp;web=1&amp;e=l8jzg0&amp;nav=eyJoIjoiMTc5MDQ2MTQzNyJ9" TargetMode="External"/><Relationship Id="rId18" Type="http://schemas.openxmlformats.org/officeDocument/2006/relationships/hyperlink" Target="https://openboxes-es.helpscoutdocs.com/article/486-effectuer-le-comptage-des-cycl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partnersinhealth.sharepoint.com/:w:/r/sites/Cross-SiteSupplyChain/Shared%20Documents/OpenBoxes/Release%20Documents/1%20English%20Versions/Release%20Notes%200.9.4.docx?d=w5d2436bfc9954398a36342724ed41b72&amp;csf=1&amp;web=1&amp;e=l8jzg0&amp;nav=eyJoIjoiMTc5MDQ2MTQzNyJ9" TargetMode="External"/><Relationship Id="rId17" Type="http://schemas.openxmlformats.org/officeDocument/2006/relationships/hyperlink" Target="https://partnersinhealth.sharepoint.com/:w:/r/sites/Cross-SiteSupplyChain/Shared%20Documents/OpenBoxes/Release%20Documents/1%20English%20Versions/Release%20Notes%200.9.4.docx?d=w5d2436bfc9954398a36342724ed41b72&amp;csf=1&amp;web=1&amp;e=P3vEKC&amp;nav=eyJoIjoiODU5ODA3MDEifQ%3D%3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artnersinhealth.sharepoint.com/:w:/r/sites/Cross-SiteSupplyChain/Shared%20Documents/OpenBoxes/Release%20Documents/1%20English%20Versions/Release%20Notes%200.9.4.docx?d=w5d2436bfc9954398a36342724ed41b72&amp;csf=1&amp;web=1&amp;e=HbBhtz&amp;nav=eyJoIjoiNzM5ODM1MTk5In0%3D"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boxes@pih.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artnersinhealth.sharepoint.com/:w:/r/sites/Cross-SiteSupplyChain/Shared%20Documents/OpenBoxes/Release%20Documents/1%20English%20Versions/Release%20Notes%200.9.4.docx?d=w5d2436bfc9954398a36342724ed41b72&amp;csf=1&amp;web=1&amp;e=l8jzg0&amp;nav=eyJoIjoiMTc5MDQ2MTQzNyJ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095920d7098543fd"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tnersinhealth.sharepoint.com/:w:/r/sites/Cross-SiteSupplyChain/Shared%20Documents/OpenBoxes/Release%20Documents/1%20English%20Versions/Release%20Notes%200.9.4.docx?d=w5d2436bfc9954398a36342724ed41b72&amp;csf=1&amp;web=1&amp;e=l8jzg0&amp;nav=eyJoIjoiMTc5MDQ2MTQzNyJ9"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A5E0B6F5C044CA4035DB55F862AE2" ma:contentTypeVersion="18" ma:contentTypeDescription="Create a new document." ma:contentTypeScope="" ma:versionID="aa6834da3b6673941641a12712a556bb">
  <xsd:schema xmlns:xsd="http://www.w3.org/2001/XMLSchema" xmlns:xs="http://www.w3.org/2001/XMLSchema" xmlns:p="http://schemas.microsoft.com/office/2006/metadata/properties" xmlns:ns2="447f813c-875e-4073-a578-56f58d7faa4d" xmlns:ns3="d70f3c26-fef5-4de6-979d-13cba767f965" targetNamespace="http://schemas.microsoft.com/office/2006/metadata/properties" ma:root="true" ma:fieldsID="9de1094ae59cab8d1454530efa1db083" ns2:_="" ns3:_="">
    <xsd:import namespace="447f813c-875e-4073-a578-56f58d7faa4d"/>
    <xsd:import namespace="d70f3c26-fef5-4de6-979d-13cba767f9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f813c-875e-4073-a578-56f58d7fa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d3c62f-433e-4d1b-92df-86d079e0da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f3c26-fef5-4de6-979d-13cba767f9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c2bb8f-b342-4906-aa7e-8f635c51664c}" ma:internalName="TaxCatchAll" ma:showField="CatchAllData" ma:web="d70f3c26-fef5-4de6-979d-13cba767f9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0f3c26-fef5-4de6-979d-13cba767f965" xsi:nil="true"/>
    <lcf76f155ced4ddcb4097134ff3c332f xmlns="447f813c-875e-4073-a578-56f58d7faa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384D-F74B-4C5C-83D9-F65F116B2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f813c-875e-4073-a578-56f58d7faa4d"/>
    <ds:schemaRef ds:uri="d70f3c26-fef5-4de6-979d-13cba767f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0BFA0-6DC3-4F51-B9D2-0ECCB5DB8DD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d70f3c26-fef5-4de6-979d-13cba767f965"/>
    <ds:schemaRef ds:uri="http://purl.org/dc/elements/1.1/"/>
    <ds:schemaRef ds:uri="http://purl.org/dc/dcmitype/"/>
    <ds:schemaRef ds:uri="http://schemas.microsoft.com/office/infopath/2007/PartnerControls"/>
    <ds:schemaRef ds:uri="447f813c-875e-4073-a578-56f58d7faa4d"/>
    <ds:schemaRef ds:uri="http://www.w3.org/XML/1998/namespace"/>
  </ds:schemaRefs>
</ds:datastoreItem>
</file>

<file path=customXml/itemProps3.xml><?xml version="1.0" encoding="utf-8"?>
<ds:datastoreItem xmlns:ds="http://schemas.openxmlformats.org/officeDocument/2006/customXml" ds:itemID="{A2CB60F3-B0FC-48B5-AA7D-9758D2EB1925}">
  <ds:schemaRefs>
    <ds:schemaRef ds:uri="http://schemas.microsoft.com/sharepoint/v3/contenttype/forms"/>
  </ds:schemaRefs>
</ds:datastoreItem>
</file>

<file path=customXml/itemProps4.xml><?xml version="1.0" encoding="utf-8"?>
<ds:datastoreItem xmlns:ds="http://schemas.openxmlformats.org/officeDocument/2006/customXml" ds:itemID="{188A47C2-577B-4411-8B85-B6BDBE05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8043</Characters>
  <Application>Microsoft Office Word</Application>
  <DocSecurity>0</DocSecurity>
  <Lines>187</Lines>
  <Paragraphs>102</Paragraphs>
  <ScaleCrop>false</ScaleCrop>
  <HeadingPairs>
    <vt:vector size="2" baseType="variant">
      <vt:variant>
        <vt:lpstr>Title</vt:lpstr>
      </vt:variant>
      <vt:variant>
        <vt:i4>1</vt:i4>
      </vt:variant>
    </vt:vector>
  </HeadingPairs>
  <TitlesOfParts>
    <vt:vector size="1" baseType="lpstr">
      <vt:lpstr/>
    </vt:vector>
  </TitlesOfParts>
  <Company>Partners In Health</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Maharjan</dc:creator>
  <cp:keywords/>
  <dc:description/>
  <cp:lastModifiedBy>Neha Maharjan</cp:lastModifiedBy>
  <cp:revision>3</cp:revision>
  <dcterms:created xsi:type="dcterms:W3CDTF">2025-04-04T20:32:00Z</dcterms:created>
  <dcterms:modified xsi:type="dcterms:W3CDTF">2025-04-04T20:39:00Z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c680e1b1-af02-40fc-a6d5-e590c79148ae</vt:lpwstr>
  </property>
  <property fmtid="{D5CDD505-2E9C-101B-9397-08002B2CF9AE}" pid="3" name="ContentTypeId">
    <vt:lpwstr>0x010100B4AA5E0B6F5C044CA4035DB55F862AE2</vt:lpwstr>
  </property>
  <property fmtid="{D5CDD505-2E9C-101B-9397-08002B2CF9AE}" pid="4" name="MediaServiceImageTags">
    <vt:lpwstr/>
  </property>
</Properties>
</file>